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911E7" w14:textId="4E7B2E29" w:rsidR="00D13CD4" w:rsidRPr="00F171C8" w:rsidRDefault="00715D52">
      <w:pPr>
        <w:rPr>
          <w:rFonts w:asciiTheme="majorHAnsi" w:eastAsiaTheme="majorEastAsia" w:hAnsiTheme="majorHAnsi" w:cstheme="majorBidi"/>
          <w:b/>
          <w:spacing w:val="-10"/>
          <w:kern w:val="28"/>
          <w:sz w:val="56"/>
          <w:szCs w:val="56"/>
          <w:lang w:val="en-GB"/>
        </w:rPr>
      </w:pPr>
      <w:r w:rsidRPr="00F171C8">
        <w:rPr>
          <w:rFonts w:cs="Arial"/>
          <w:b/>
          <w:noProof/>
          <w:lang w:val="en-GB"/>
        </w:rPr>
        <mc:AlternateContent>
          <mc:Choice Requires="wps">
            <w:drawing>
              <wp:anchor distT="45720" distB="45720" distL="114300" distR="114300" simplePos="0" relativeHeight="251663360" behindDoc="0" locked="0" layoutInCell="1" allowOverlap="1" wp14:anchorId="66A6C79D" wp14:editId="2744C161">
                <wp:simplePos x="0" y="0"/>
                <wp:positionH relativeFrom="margin">
                  <wp:posOffset>1905</wp:posOffset>
                </wp:positionH>
                <wp:positionV relativeFrom="paragraph">
                  <wp:posOffset>7882890</wp:posOffset>
                </wp:positionV>
                <wp:extent cx="5758815" cy="984885"/>
                <wp:effectExtent l="0" t="0" r="0" b="5715"/>
                <wp:wrapSquare wrapText="bothSides"/>
                <wp:docPr id="539876928" name="Tekstboks 539876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984885"/>
                        </a:xfrm>
                        <a:prstGeom prst="rect">
                          <a:avLst/>
                        </a:prstGeom>
                        <a:noFill/>
                        <a:ln w="9525">
                          <a:noFill/>
                          <a:miter lim="800000"/>
                          <a:headEnd/>
                          <a:tailEnd/>
                        </a:ln>
                      </wps:spPr>
                      <wps:txbx>
                        <w:txbxContent>
                          <w:p w14:paraId="022B7B1F" w14:textId="77777777" w:rsidR="00715D52" w:rsidRPr="007B505E" w:rsidRDefault="00715D52" w:rsidP="00715D52">
                            <w:pPr>
                              <w:pStyle w:val="Overskriftforinnholdsfortegnelse"/>
                              <w:spacing w:before="0" w:line="240" w:lineRule="auto"/>
                              <w:rPr>
                                <w:rFonts w:ascii="Arial" w:eastAsiaTheme="minorHAnsi" w:hAnsi="Arial" w:cs="Arial"/>
                                <w:b/>
                                <w:bCs/>
                                <w:color w:val="012A4C" w:themeColor="text2"/>
                                <w:sz w:val="20"/>
                                <w:szCs w:val="20"/>
                              </w:rPr>
                            </w:pPr>
                            <w:r w:rsidRPr="008529AA">
                              <w:rPr>
                                <w:rFonts w:ascii="Arial" w:hAnsi="Arial" w:cs="Arial"/>
                                <w:b/>
                                <w:bCs/>
                                <w:sz w:val="24"/>
                                <w:szCs w:val="24"/>
                                <w:lang w:eastAsia="nb-NO"/>
                              </w:rPr>
                              <w:t>Norwegian public sector cloud marketplace</w:t>
                            </w:r>
                          </w:p>
                          <w:p w14:paraId="591EFD2C" w14:textId="77777777" w:rsidR="00715D52" w:rsidRPr="002B24E1" w:rsidRDefault="00715D52" w:rsidP="00715D52">
                            <w:pPr>
                              <w:pStyle w:val="Overskriftforinnholdsfortegnelse"/>
                              <w:spacing w:before="0" w:line="240" w:lineRule="auto"/>
                              <w:rPr>
                                <w:rFonts w:ascii="Arial" w:eastAsiaTheme="minorHAnsi" w:hAnsi="Arial" w:cs="Arial"/>
                                <w:bCs/>
                                <w:color w:val="012A4C" w:themeColor="text2"/>
                                <w:sz w:val="20"/>
                                <w:szCs w:val="20"/>
                              </w:rPr>
                            </w:pPr>
                            <w:r w:rsidRPr="002B24E1">
                              <w:rPr>
                                <w:rFonts w:ascii="Arial" w:eastAsiaTheme="minorHAnsi" w:hAnsi="Arial" w:cs="Arial"/>
                                <w:bCs/>
                                <w:color w:val="012A4C" w:themeColor="text2"/>
                                <w:sz w:val="22"/>
                                <w:szCs w:val="22"/>
                              </w:rPr>
                              <w:t>Norwegian agency for public and financial management</w:t>
                            </w:r>
                          </w:p>
                          <w:p w14:paraId="14E36D12" w14:textId="77777777" w:rsidR="00715D52" w:rsidRPr="002B24E1" w:rsidRDefault="00715D52" w:rsidP="00715D5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Phone no.: 400 07 997</w:t>
                            </w:r>
                          </w:p>
                          <w:p w14:paraId="73DBFBDD" w14:textId="77777777" w:rsidR="00715D52" w:rsidRPr="002B24E1" w:rsidRDefault="00715D52" w:rsidP="00715D5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 xml:space="preserve">E-mail: </w:t>
                            </w:r>
                            <w:r>
                              <w:rPr>
                                <w:b w:val="0"/>
                                <w:bCs/>
                                <w:color w:val="A5A5A5" w:themeColor="accent5"/>
                                <w:sz w:val="22"/>
                                <w:szCs w:val="22"/>
                                <w:lang w:val="en-GB"/>
                              </w:rPr>
                              <w:t>markedsplassen</w:t>
                            </w:r>
                            <w:r w:rsidRPr="002B24E1">
                              <w:rPr>
                                <w:b w:val="0"/>
                                <w:bCs/>
                                <w:color w:val="A5A5A5" w:themeColor="accent5"/>
                                <w:sz w:val="22"/>
                                <w:szCs w:val="22"/>
                                <w:lang w:val="en-GB"/>
                              </w:rPr>
                              <w:t>@dfo.no</w:t>
                            </w:r>
                          </w:p>
                          <w:p w14:paraId="595A538E" w14:textId="77777777" w:rsidR="00715D52" w:rsidRPr="002B24E1" w:rsidRDefault="00715D52" w:rsidP="00715D52">
                            <w:pPr>
                              <w:pStyle w:val="Forside"/>
                              <w:spacing w:before="0" w:after="0" w:line="240" w:lineRule="auto"/>
                              <w:rPr>
                                <w:color w:val="A5A5A5" w:themeColor="accent5"/>
                                <w:sz w:val="32"/>
                                <w:szCs w:val="32"/>
                                <w:lang w:val="en-GB"/>
                              </w:rPr>
                            </w:pPr>
                            <w:r>
                              <w:rPr>
                                <w:b w:val="0"/>
                                <w:bCs/>
                                <w:color w:val="A5A5A5" w:themeColor="accent5"/>
                                <w:sz w:val="22"/>
                                <w:szCs w:val="22"/>
                                <w:lang w:val="en-GB"/>
                              </w:rPr>
                              <w:t>Business registration</w:t>
                            </w:r>
                            <w:r w:rsidRPr="002B24E1">
                              <w:rPr>
                                <w:b w:val="0"/>
                                <w:bCs/>
                                <w:color w:val="A5A5A5" w:themeColor="accent5"/>
                                <w:sz w:val="22"/>
                                <w:szCs w:val="22"/>
                                <w:lang w:val="en-GB"/>
                              </w:rPr>
                              <w:t xml:space="preserve"> no.: 986 252 932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A6C79D" id="_x0000_t202" coordsize="21600,21600" o:spt="202" path="m,l,21600r21600,l21600,xe">
                <v:stroke joinstyle="miter"/>
                <v:path gradientshapeok="t" o:connecttype="rect"/>
              </v:shapetype>
              <v:shape id="Tekstboks 539876928" o:spid="_x0000_s1026" type="#_x0000_t202" style="position:absolute;margin-left:.15pt;margin-top:620.7pt;width:453.45pt;height:77.5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" filled="f" stroked="f">
                <v:textbox>
                  <w:txbxContent>
                    <w:p w14:paraId="022B7B1F" w14:textId="77777777" w:rsidR="00715D52" w:rsidRPr="007B505E" w:rsidRDefault="00715D52" w:rsidP="00715D52">
                      <w:pPr>
                        <w:pStyle w:val="Overskriftforinnholdsfortegnelse"/>
                        <w:spacing w:before="0" w:line="240" w:lineRule="auto"/>
                        <w:rPr>
                          <w:rFonts w:ascii="Arial" w:eastAsiaTheme="minorHAnsi" w:hAnsi="Arial" w:cs="Arial"/>
                          <w:b/>
                          <w:bCs/>
                          <w:color w:val="012A4C" w:themeColor="text2"/>
                          <w:sz w:val="20"/>
                          <w:szCs w:val="20"/>
                        </w:rPr>
                      </w:pPr>
                      <w:r w:rsidRPr="008529AA">
                        <w:rPr>
                          <w:rFonts w:ascii="Arial" w:hAnsi="Arial" w:cs="Arial"/>
                          <w:b/>
                          <w:bCs/>
                          <w:sz w:val="24"/>
                          <w:szCs w:val="24"/>
                          <w:lang w:eastAsia="nb-NO"/>
                        </w:rPr>
                        <w:t>Norwegian public sector cloud marketplace</w:t>
                      </w:r>
                    </w:p>
                    <w:p w14:paraId="591EFD2C" w14:textId="77777777" w:rsidR="00715D52" w:rsidRPr="002B24E1" w:rsidRDefault="00715D52" w:rsidP="00715D52">
                      <w:pPr>
                        <w:pStyle w:val="Overskriftforinnholdsfortegnelse"/>
                        <w:spacing w:before="0" w:line="240" w:lineRule="auto"/>
                        <w:rPr>
                          <w:rFonts w:ascii="Arial" w:eastAsiaTheme="minorHAnsi" w:hAnsi="Arial" w:cs="Arial"/>
                          <w:bCs/>
                          <w:color w:val="012A4C" w:themeColor="text2"/>
                          <w:sz w:val="20"/>
                          <w:szCs w:val="20"/>
                        </w:rPr>
                      </w:pPr>
                      <w:r w:rsidRPr="002B24E1">
                        <w:rPr>
                          <w:rFonts w:ascii="Arial" w:eastAsiaTheme="minorHAnsi" w:hAnsi="Arial" w:cs="Arial"/>
                          <w:bCs/>
                          <w:color w:val="012A4C" w:themeColor="text2"/>
                          <w:sz w:val="22"/>
                          <w:szCs w:val="22"/>
                        </w:rPr>
                        <w:t>Norwegian agency for public and financial management</w:t>
                      </w:r>
                    </w:p>
                    <w:p w14:paraId="14E36D12" w14:textId="77777777" w:rsidR="00715D52" w:rsidRPr="002B24E1" w:rsidRDefault="00715D52" w:rsidP="00715D5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Phone no.: 400 07 997</w:t>
                      </w:r>
                    </w:p>
                    <w:p w14:paraId="73DBFBDD" w14:textId="77777777" w:rsidR="00715D52" w:rsidRPr="002B24E1" w:rsidRDefault="00715D52" w:rsidP="00715D52">
                      <w:pPr>
                        <w:pStyle w:val="Forside"/>
                        <w:spacing w:before="0" w:after="0" w:line="240" w:lineRule="auto"/>
                        <w:rPr>
                          <w:b w:val="0"/>
                          <w:bCs/>
                          <w:color w:val="A5A5A5" w:themeColor="accent5"/>
                          <w:sz w:val="22"/>
                          <w:szCs w:val="22"/>
                          <w:lang w:val="en-GB"/>
                        </w:rPr>
                      </w:pPr>
                      <w:r w:rsidRPr="002B24E1">
                        <w:rPr>
                          <w:b w:val="0"/>
                          <w:bCs/>
                          <w:color w:val="A5A5A5" w:themeColor="accent5"/>
                          <w:sz w:val="22"/>
                          <w:szCs w:val="22"/>
                          <w:lang w:val="en-GB"/>
                        </w:rPr>
                        <w:t xml:space="preserve">E-mail: </w:t>
                      </w:r>
                      <w:r>
                        <w:rPr>
                          <w:b w:val="0"/>
                          <w:bCs/>
                          <w:color w:val="A5A5A5" w:themeColor="accent5"/>
                          <w:sz w:val="22"/>
                          <w:szCs w:val="22"/>
                          <w:lang w:val="en-GB"/>
                        </w:rPr>
                        <w:t>markedsplassen</w:t>
                      </w:r>
                      <w:r w:rsidRPr="002B24E1">
                        <w:rPr>
                          <w:b w:val="0"/>
                          <w:bCs/>
                          <w:color w:val="A5A5A5" w:themeColor="accent5"/>
                          <w:sz w:val="22"/>
                          <w:szCs w:val="22"/>
                          <w:lang w:val="en-GB"/>
                        </w:rPr>
                        <w:t>@dfo.no</w:t>
                      </w:r>
                    </w:p>
                    <w:p w14:paraId="595A538E" w14:textId="77777777" w:rsidR="00715D52" w:rsidRPr="002B24E1" w:rsidRDefault="00715D52" w:rsidP="00715D52">
                      <w:pPr>
                        <w:pStyle w:val="Forside"/>
                        <w:spacing w:before="0" w:after="0" w:line="240" w:lineRule="auto"/>
                        <w:rPr>
                          <w:color w:val="A5A5A5" w:themeColor="accent5"/>
                          <w:sz w:val="32"/>
                          <w:szCs w:val="32"/>
                          <w:lang w:val="en-GB"/>
                        </w:rPr>
                      </w:pPr>
                      <w:r>
                        <w:rPr>
                          <w:b w:val="0"/>
                          <w:bCs/>
                          <w:color w:val="A5A5A5" w:themeColor="accent5"/>
                          <w:sz w:val="22"/>
                          <w:szCs w:val="22"/>
                          <w:lang w:val="en-GB"/>
                        </w:rPr>
                        <w:t>Business registration</w:t>
                      </w:r>
                      <w:r w:rsidRPr="002B24E1">
                        <w:rPr>
                          <w:b w:val="0"/>
                          <w:bCs/>
                          <w:color w:val="A5A5A5" w:themeColor="accent5"/>
                          <w:sz w:val="22"/>
                          <w:szCs w:val="22"/>
                          <w:lang w:val="en-GB"/>
                        </w:rPr>
                        <w:t xml:space="preserve"> no.: 986 252 932</w:t>
                      </w:r>
                    </w:p>
                  </w:txbxContent>
                </v:textbox>
                <w10:wrap type="square" anchorx="margin"/>
              </v:shape>
            </w:pict>
          </mc:Fallback>
        </mc:AlternateContent>
      </w:r>
      <w:r w:rsidR="00125CDE" w:rsidRPr="00F171C8">
        <w:rPr>
          <w:rFonts w:cs="Arial"/>
          <w:b/>
          <w:noProof/>
          <w:color w:val="012A4C" w:themeColor="text2"/>
          <w:sz w:val="40"/>
          <w:szCs w:val="40"/>
          <w:lang w:val="en-GB"/>
        </w:rPr>
        <mc:AlternateContent>
          <mc:Choice Requires="wps">
            <w:drawing>
              <wp:anchor distT="45720" distB="45720" distL="114300" distR="114300" simplePos="0" relativeHeight="251661312" behindDoc="0" locked="0" layoutInCell="1" allowOverlap="1" wp14:anchorId="189AC406" wp14:editId="045EE0B1">
                <wp:simplePos x="0" y="0"/>
                <wp:positionH relativeFrom="margin">
                  <wp:posOffset>1270</wp:posOffset>
                </wp:positionH>
                <wp:positionV relativeFrom="paragraph">
                  <wp:posOffset>4510405</wp:posOffset>
                </wp:positionV>
                <wp:extent cx="5758815" cy="1404620"/>
                <wp:effectExtent l="0" t="0" r="0" b="8890"/>
                <wp:wrapSquare wrapText="bothSides"/>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1404620"/>
                        </a:xfrm>
                        <a:prstGeom prst="rect">
                          <a:avLst/>
                        </a:prstGeom>
                        <a:solidFill>
                          <a:srgbClr val="FFFFFF"/>
                        </a:solidFill>
                        <a:ln w="9525">
                          <a:noFill/>
                          <a:miter lim="800000"/>
                          <a:headEnd/>
                          <a:tailEnd/>
                        </a:ln>
                      </wps:spPr>
                      <wps:txbx>
                        <w:txbxContent>
                          <w:p w14:paraId="7A8C3158" w14:textId="3FBE3309" w:rsidR="00125CDE" w:rsidRDefault="005F18B8" w:rsidP="00125CDE">
                            <w:pPr>
                              <w:pStyle w:val="Brdtekst"/>
                              <w:pBdr>
                                <w:bottom w:val="single" w:sz="24" w:space="1" w:color="012A4C" w:themeColor="text2"/>
                              </w:pBdr>
                              <w:spacing w:line="240" w:lineRule="auto"/>
                              <w:rPr>
                                <w:b/>
                                <w:color w:val="012A4C" w:themeColor="text2"/>
                                <w:sz w:val="40"/>
                                <w:szCs w:val="40"/>
                                <w:lang w:val="en-US"/>
                              </w:rPr>
                            </w:pPr>
                            <w:r>
                              <w:rPr>
                                <w:b/>
                                <w:color w:val="012A4C" w:themeColor="text2"/>
                                <w:sz w:val="40"/>
                                <w:szCs w:val="40"/>
                                <w:lang w:val="en-US"/>
                              </w:rPr>
                              <w:t>Attachment</w:t>
                            </w:r>
                            <w:r w:rsidRPr="003C4984">
                              <w:rPr>
                                <w:b/>
                                <w:color w:val="012A4C" w:themeColor="text2"/>
                                <w:sz w:val="40"/>
                                <w:szCs w:val="40"/>
                                <w:lang w:val="en-US"/>
                              </w:rPr>
                              <w:t xml:space="preserve"> </w:t>
                            </w:r>
                            <w:r w:rsidR="00827A5B">
                              <w:rPr>
                                <w:b/>
                                <w:color w:val="012A4C" w:themeColor="text2"/>
                                <w:sz w:val="40"/>
                                <w:szCs w:val="40"/>
                                <w:lang w:val="en-US"/>
                              </w:rPr>
                              <w:t>3</w:t>
                            </w:r>
                            <w:r w:rsidR="00125CDE" w:rsidRPr="003C4984">
                              <w:rPr>
                                <w:b/>
                                <w:color w:val="012A4C" w:themeColor="text2"/>
                                <w:sz w:val="40"/>
                                <w:szCs w:val="40"/>
                                <w:lang w:val="en-US"/>
                              </w:rPr>
                              <w:t xml:space="preserve">: </w:t>
                            </w:r>
                            <w:r w:rsidR="00590F44">
                              <w:rPr>
                                <w:b/>
                                <w:color w:val="012A4C" w:themeColor="text2"/>
                                <w:sz w:val="40"/>
                                <w:szCs w:val="40"/>
                                <w:lang w:val="en-US"/>
                              </w:rPr>
                              <w:t>Statement and instructions of Confidentiality</w:t>
                            </w:r>
                          </w:p>
                          <w:p w14:paraId="6F4DFFA4" w14:textId="381B6439" w:rsidR="00125CDE" w:rsidRPr="00F51265" w:rsidRDefault="00411899" w:rsidP="00411899">
                            <w:pPr>
                              <w:pStyle w:val="Brdtekst"/>
                              <w:spacing w:line="240" w:lineRule="auto"/>
                              <w:rPr>
                                <w:color w:val="808080" w:themeColor="background1" w:themeShade="80"/>
                                <w:sz w:val="32"/>
                                <w:szCs w:val="32"/>
                                <w:lang w:val="en-US"/>
                              </w:rPr>
                            </w:pPr>
                            <w:r w:rsidRPr="00411899">
                              <w:rPr>
                                <w:color w:val="808080" w:themeColor="background1" w:themeShade="80"/>
                                <w:sz w:val="32"/>
                                <w:szCs w:val="32"/>
                                <w:lang w:val="en-US"/>
                              </w:rPr>
                              <w:t>For the procurement of information security and data protection consultancy services for DFØ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9AC406" id="Tekstboks 217" o:spid="_x0000_s1027" type="#_x0000_t202" style="position:absolute;margin-left:.1pt;margin-top:355.15pt;width:453.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" stroked="f">
                <v:textbox style="mso-fit-shape-to-text:t">
                  <w:txbxContent>
                    <w:p w14:paraId="7A8C3158" w14:textId="3FBE3309" w:rsidR="00125CDE" w:rsidRDefault="005F18B8" w:rsidP="00125CDE">
                      <w:pPr>
                        <w:pStyle w:val="Brdtekst"/>
                        <w:pBdr>
                          <w:bottom w:val="single" w:sz="24" w:space="1" w:color="012A4C" w:themeColor="text2"/>
                        </w:pBdr>
                        <w:spacing w:line="240" w:lineRule="auto"/>
                        <w:rPr>
                          <w:b/>
                          <w:color w:val="012A4C" w:themeColor="text2"/>
                          <w:sz w:val="40"/>
                          <w:szCs w:val="40"/>
                          <w:lang w:val="en-US"/>
                        </w:rPr>
                      </w:pPr>
                      <w:r>
                        <w:rPr>
                          <w:b/>
                          <w:color w:val="012A4C" w:themeColor="text2"/>
                          <w:sz w:val="40"/>
                          <w:szCs w:val="40"/>
                          <w:lang w:val="en-US"/>
                        </w:rPr>
                        <w:t>Attachment</w:t>
                      </w:r>
                      <w:r w:rsidRPr="003C4984">
                        <w:rPr>
                          <w:b/>
                          <w:color w:val="012A4C" w:themeColor="text2"/>
                          <w:sz w:val="40"/>
                          <w:szCs w:val="40"/>
                          <w:lang w:val="en-US"/>
                        </w:rPr>
                        <w:t xml:space="preserve"> </w:t>
                      </w:r>
                      <w:r w:rsidR="00827A5B">
                        <w:rPr>
                          <w:b/>
                          <w:color w:val="012A4C" w:themeColor="text2"/>
                          <w:sz w:val="40"/>
                          <w:szCs w:val="40"/>
                          <w:lang w:val="en-US"/>
                        </w:rPr>
                        <w:t>3</w:t>
                      </w:r>
                      <w:r w:rsidR="00125CDE" w:rsidRPr="003C4984">
                        <w:rPr>
                          <w:b/>
                          <w:color w:val="012A4C" w:themeColor="text2"/>
                          <w:sz w:val="40"/>
                          <w:szCs w:val="40"/>
                          <w:lang w:val="en-US"/>
                        </w:rPr>
                        <w:t xml:space="preserve">: </w:t>
                      </w:r>
                      <w:r w:rsidR="00590F44">
                        <w:rPr>
                          <w:b/>
                          <w:color w:val="012A4C" w:themeColor="text2"/>
                          <w:sz w:val="40"/>
                          <w:szCs w:val="40"/>
                          <w:lang w:val="en-US"/>
                        </w:rPr>
                        <w:t>Statement and instructions of Confidentiality</w:t>
                      </w:r>
                    </w:p>
                    <w:p w14:paraId="6F4DFFA4" w14:textId="381B6439" w:rsidR="00125CDE" w:rsidRPr="00F51265" w:rsidRDefault="00411899" w:rsidP="00411899">
                      <w:pPr>
                        <w:pStyle w:val="Brdtekst"/>
                        <w:spacing w:line="240" w:lineRule="auto"/>
                        <w:rPr>
                          <w:color w:val="808080" w:themeColor="background1" w:themeShade="80"/>
                          <w:sz w:val="32"/>
                          <w:szCs w:val="32"/>
                          <w:lang w:val="en-US"/>
                        </w:rPr>
                      </w:pPr>
                      <w:r w:rsidRPr="00411899">
                        <w:rPr>
                          <w:color w:val="808080" w:themeColor="background1" w:themeShade="80"/>
                          <w:sz w:val="32"/>
                          <w:szCs w:val="32"/>
                          <w:lang w:val="en-US"/>
                        </w:rPr>
                        <w:t>For the procurement of information security and data protection consultancy services for DFØ</w:t>
                      </w:r>
                    </w:p>
                  </w:txbxContent>
                </v:textbox>
                <w10:wrap type="square" anchorx="margin"/>
              </v:shape>
            </w:pict>
          </mc:Fallback>
        </mc:AlternateContent>
      </w:r>
      <w:r w:rsidR="00E5295C" w:rsidRPr="00F171C8">
        <w:rPr>
          <w:noProof/>
          <w:lang w:val="en-GB"/>
        </w:rPr>
        <w:drawing>
          <wp:anchor distT="0" distB="0" distL="114300" distR="114300" simplePos="0" relativeHeight="251659264" behindDoc="0" locked="0" layoutInCell="1" allowOverlap="1" wp14:anchorId="3C69C319" wp14:editId="03D316A4">
            <wp:simplePos x="0" y="0"/>
            <wp:positionH relativeFrom="margin">
              <wp:align>right</wp:align>
            </wp:positionH>
            <wp:positionV relativeFrom="margin">
              <wp:align>top</wp:align>
            </wp:positionV>
            <wp:extent cx="2612026" cy="720000"/>
            <wp:effectExtent l="0" t="0" r="0" b="4445"/>
            <wp:wrapSquare wrapText="bothSides"/>
            <wp:docPr id="115915096" name="Bilde 115915096" descr="Et bilde som inneholder Font, symbol,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15096" name="Bilde 1" descr="Et bilde som inneholder Font, symbol, logo, Grafikk&#10;&#10;Automatisk generert beskrivels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12026" cy="720000"/>
                    </a:xfrm>
                    <a:prstGeom prst="rect">
                      <a:avLst/>
                    </a:prstGeom>
                  </pic:spPr>
                </pic:pic>
              </a:graphicData>
            </a:graphic>
            <wp14:sizeRelH relativeFrom="page">
              <wp14:pctWidth>0</wp14:pctWidth>
            </wp14:sizeRelH>
            <wp14:sizeRelV relativeFrom="page">
              <wp14:pctHeight>0</wp14:pctHeight>
            </wp14:sizeRelV>
          </wp:anchor>
        </w:drawing>
      </w:r>
      <w:r w:rsidR="00D13CD4" w:rsidRPr="00F171C8">
        <w:rPr>
          <w:lang w:val="en-GB"/>
        </w:rPr>
        <w:br w:type="page"/>
      </w:r>
    </w:p>
    <w:p w14:paraId="31A7479F" w14:textId="0EC2BC04" w:rsidR="00E45534" w:rsidRPr="00F171C8" w:rsidRDefault="00855827" w:rsidP="00D94FDB">
      <w:pPr>
        <w:pStyle w:val="Overskrift1"/>
        <w:numPr>
          <w:ilvl w:val="0"/>
          <w:numId w:val="10"/>
        </w:numPr>
        <w:rPr>
          <w:lang w:val="en-GB"/>
        </w:rPr>
      </w:pPr>
      <w:bookmarkStart w:id="0" w:name="_Toc13145592"/>
      <w:bookmarkStart w:id="1" w:name="_Toc161032998"/>
      <w:bookmarkStart w:id="2" w:name="_Toc421703905"/>
      <w:r w:rsidRPr="00F171C8">
        <w:rPr>
          <w:lang w:val="en-GB"/>
        </w:rPr>
        <w:lastRenderedPageBreak/>
        <w:t>How to Handle Requests for Access in Public Procurements</w:t>
      </w:r>
      <w:bookmarkEnd w:id="0"/>
      <w:r w:rsidR="00E45534" w:rsidRPr="00F171C8">
        <w:rPr>
          <w:lang w:val="en-GB"/>
        </w:rPr>
        <w:t xml:space="preserve"> </w:t>
      </w:r>
    </w:p>
    <w:p w14:paraId="79736C02" w14:textId="2BAF6DD8" w:rsidR="00E45534" w:rsidRPr="00F171C8" w:rsidRDefault="00C56498" w:rsidP="00E45534">
      <w:pPr>
        <w:pStyle w:val="Default"/>
        <w:rPr>
          <w:rFonts w:ascii="Arial" w:hAnsi="Arial" w:cs="Arial"/>
          <w:color w:val="auto"/>
          <w:sz w:val="22"/>
          <w:szCs w:val="22"/>
          <w:lang w:val="en-GB"/>
        </w:rPr>
      </w:pPr>
      <w:r w:rsidRPr="00F171C8">
        <w:rPr>
          <w:rFonts w:ascii="Arial" w:hAnsi="Arial" w:cs="Arial"/>
          <w:color w:val="auto"/>
          <w:sz w:val="22"/>
          <w:szCs w:val="22"/>
          <w:lang w:val="en-GB"/>
        </w:rPr>
        <w:t xml:space="preserve">This is a guide on redacting </w:t>
      </w:r>
      <w:r w:rsidR="00A00DA6">
        <w:rPr>
          <w:rFonts w:ascii="Arial" w:hAnsi="Arial" w:cs="Arial"/>
          <w:color w:val="auto"/>
          <w:sz w:val="22"/>
          <w:szCs w:val="22"/>
          <w:lang w:val="en-GB"/>
        </w:rPr>
        <w:t>tenders</w:t>
      </w:r>
      <w:r w:rsidR="00A00DA6" w:rsidRPr="00F171C8">
        <w:rPr>
          <w:rFonts w:ascii="Arial" w:hAnsi="Arial" w:cs="Arial"/>
          <w:color w:val="auto"/>
          <w:sz w:val="22"/>
          <w:szCs w:val="22"/>
          <w:lang w:val="en-GB"/>
        </w:rPr>
        <w:t xml:space="preserve"> </w:t>
      </w:r>
      <w:r w:rsidRPr="00F171C8">
        <w:rPr>
          <w:rFonts w:ascii="Arial" w:hAnsi="Arial" w:cs="Arial"/>
          <w:color w:val="auto"/>
          <w:sz w:val="22"/>
          <w:szCs w:val="22"/>
          <w:lang w:val="en-GB"/>
        </w:rPr>
        <w:t>for use by suppliers in competitions organized by the</w:t>
      </w:r>
      <w:r w:rsidR="008F4577" w:rsidRPr="00F171C8">
        <w:rPr>
          <w:rFonts w:ascii="Arial" w:hAnsi="Arial" w:cs="Arial"/>
          <w:color w:val="auto"/>
          <w:sz w:val="22"/>
          <w:szCs w:val="22"/>
          <w:lang w:val="en-GB"/>
        </w:rPr>
        <w:t xml:space="preserve"> Norwegian Agency for Public and Financial Management (DFØ)</w:t>
      </w:r>
      <w:r w:rsidRPr="00F171C8">
        <w:rPr>
          <w:rFonts w:ascii="Arial" w:hAnsi="Arial" w:cs="Arial"/>
          <w:color w:val="auto"/>
          <w:sz w:val="22"/>
          <w:szCs w:val="22"/>
          <w:lang w:val="en-GB"/>
        </w:rPr>
        <w:t>.</w:t>
      </w:r>
    </w:p>
    <w:p w14:paraId="5C039358" w14:textId="16273A6F" w:rsidR="00E45534" w:rsidRPr="00F171C8" w:rsidRDefault="00530B33" w:rsidP="000B7B7F">
      <w:pPr>
        <w:pStyle w:val="Overskrift2"/>
        <w:numPr>
          <w:ilvl w:val="1"/>
          <w:numId w:val="7"/>
        </w:numPr>
        <w:ind w:left="792" w:hanging="432"/>
        <w:rPr>
          <w:sz w:val="28"/>
          <w:szCs w:val="28"/>
          <w:lang w:val="en-GB"/>
        </w:rPr>
      </w:pPr>
      <w:r w:rsidRPr="00F171C8">
        <w:rPr>
          <w:rFonts w:asciiTheme="minorHAnsi" w:hAnsiTheme="minorHAnsi" w:cstheme="minorHAnsi"/>
          <w:lang w:val="en-GB"/>
        </w:rPr>
        <w:t xml:space="preserve">Legal </w:t>
      </w:r>
      <w:r w:rsidR="00BD6A6F" w:rsidRPr="00F171C8">
        <w:rPr>
          <w:rFonts w:asciiTheme="minorHAnsi" w:hAnsiTheme="minorHAnsi" w:cstheme="minorHAnsi"/>
          <w:lang w:val="en-GB"/>
        </w:rPr>
        <w:t>F</w:t>
      </w:r>
      <w:r w:rsidRPr="00F171C8">
        <w:rPr>
          <w:rFonts w:asciiTheme="minorHAnsi" w:hAnsiTheme="minorHAnsi" w:cstheme="minorHAnsi"/>
          <w:lang w:val="en-GB"/>
        </w:rPr>
        <w:t>ramework</w:t>
      </w:r>
    </w:p>
    <w:p w14:paraId="576A7BC1" w14:textId="3831E977" w:rsidR="0046027D" w:rsidRPr="00F171C8" w:rsidRDefault="0046027D" w:rsidP="00E45534">
      <w:pPr>
        <w:rPr>
          <w:lang w:val="en-GB"/>
        </w:rPr>
      </w:pPr>
      <w:r w:rsidRPr="00F171C8">
        <w:rPr>
          <w:lang w:val="en-GB"/>
        </w:rPr>
        <w:t xml:space="preserve">The general rule in public procurements is that case documents should be public to the extent possible. Access to case documents and/or the exclusion of information is only permissible if there is a legal basis. The most relevant provisions can be found in </w:t>
      </w:r>
      <w:r w:rsidR="001C3C51" w:rsidRPr="00F171C8">
        <w:rPr>
          <w:lang w:val="en-GB"/>
        </w:rPr>
        <w:t>The Norwegian Public Administration Act of February 10, 1967 (The Public Administration Act)</w:t>
      </w:r>
      <w:r w:rsidRPr="00F171C8">
        <w:rPr>
          <w:lang w:val="en-GB"/>
        </w:rPr>
        <w:t xml:space="preserve"> and </w:t>
      </w:r>
      <w:r w:rsidR="00A771EB" w:rsidRPr="00F171C8">
        <w:rPr>
          <w:lang w:val="en-GB"/>
        </w:rPr>
        <w:t>The Norwegian Right of Access to Documents in Public Enterprises of May 19, 2006, No. 16 (The Public Access to Information Act)</w:t>
      </w:r>
      <w:r w:rsidRPr="00F171C8">
        <w:rPr>
          <w:lang w:val="en-GB"/>
        </w:rPr>
        <w:t xml:space="preserve"> (the Public Access to Information Act). These regulations may partially overlap and complement each other.</w:t>
      </w:r>
    </w:p>
    <w:p w14:paraId="60860448" w14:textId="2CBD8907" w:rsidR="00E45534" w:rsidRPr="00F171C8" w:rsidRDefault="003140CC" w:rsidP="00D94FDB">
      <w:pPr>
        <w:pStyle w:val="Overskrift1"/>
        <w:numPr>
          <w:ilvl w:val="0"/>
          <w:numId w:val="10"/>
        </w:numPr>
        <w:rPr>
          <w:color w:val="auto"/>
          <w:lang w:val="en-GB"/>
        </w:rPr>
      </w:pPr>
      <w:bookmarkStart w:id="3" w:name="_Toc13145593"/>
      <w:r w:rsidRPr="00F171C8">
        <w:rPr>
          <w:lang w:val="en-GB"/>
        </w:rPr>
        <w:t xml:space="preserve">Who </w:t>
      </w:r>
      <w:r w:rsidR="00BD6A6F" w:rsidRPr="00F171C8">
        <w:rPr>
          <w:lang w:val="en-GB"/>
        </w:rPr>
        <w:t>C</w:t>
      </w:r>
      <w:r w:rsidRPr="00F171C8">
        <w:rPr>
          <w:lang w:val="en-GB"/>
        </w:rPr>
        <w:t xml:space="preserve">an </w:t>
      </w:r>
      <w:r w:rsidR="00BD6A6F" w:rsidRPr="00F171C8">
        <w:rPr>
          <w:lang w:val="en-GB"/>
        </w:rPr>
        <w:t>R</w:t>
      </w:r>
      <w:r w:rsidRPr="00F171C8">
        <w:rPr>
          <w:lang w:val="en-GB"/>
        </w:rPr>
        <w:t xml:space="preserve">equire </w:t>
      </w:r>
      <w:r w:rsidR="00BD6A6F" w:rsidRPr="00F171C8">
        <w:rPr>
          <w:lang w:val="en-GB"/>
        </w:rPr>
        <w:t>A</w:t>
      </w:r>
      <w:r w:rsidRPr="00F171C8">
        <w:rPr>
          <w:lang w:val="en-GB"/>
        </w:rPr>
        <w:t>ccess</w:t>
      </w:r>
      <w:bookmarkEnd w:id="3"/>
      <w:r w:rsidRPr="00F171C8">
        <w:rPr>
          <w:lang w:val="en-GB"/>
        </w:rPr>
        <w:t>?</w:t>
      </w:r>
    </w:p>
    <w:p w14:paraId="105F3838" w14:textId="1C9048C3" w:rsidR="00E45534" w:rsidRPr="00F171C8" w:rsidRDefault="003A6D62" w:rsidP="00E45534">
      <w:pPr>
        <w:rPr>
          <w:lang w:val="en-GB"/>
        </w:rPr>
      </w:pPr>
      <w:r w:rsidRPr="00F171C8">
        <w:rPr>
          <w:lang w:val="en-GB"/>
        </w:rPr>
        <w:t>Anyone can request access in connection with public procurements. Access should be granted equally regardless of who has requested it.</w:t>
      </w:r>
    </w:p>
    <w:p w14:paraId="2FFC6BB3" w14:textId="2BB64849" w:rsidR="00E45534" w:rsidRPr="00F171C8" w:rsidRDefault="00BD6A6F" w:rsidP="00D94FDB">
      <w:pPr>
        <w:pStyle w:val="Overskrift1"/>
        <w:numPr>
          <w:ilvl w:val="0"/>
          <w:numId w:val="10"/>
        </w:numPr>
        <w:rPr>
          <w:color w:val="auto"/>
          <w:lang w:val="en-GB"/>
        </w:rPr>
      </w:pPr>
      <w:r w:rsidRPr="00F171C8">
        <w:rPr>
          <w:lang w:val="en-GB"/>
        </w:rPr>
        <w:t>Access in Different Phases of Procurement</w:t>
      </w:r>
      <w:r w:rsidR="00E45534" w:rsidRPr="00F171C8">
        <w:rPr>
          <w:color w:val="auto"/>
          <w:lang w:val="en-GB"/>
        </w:rPr>
        <w:t xml:space="preserve"> </w:t>
      </w:r>
    </w:p>
    <w:p w14:paraId="2E6FED18" w14:textId="77777777" w:rsidR="00BD6A6F" w:rsidRPr="00F171C8" w:rsidRDefault="00BD6A6F" w:rsidP="00BD6A6F">
      <w:pPr>
        <w:rPr>
          <w:lang w:val="en-GB"/>
        </w:rPr>
      </w:pPr>
      <w:r w:rsidRPr="00F171C8">
        <w:rPr>
          <w:lang w:val="en-GB"/>
        </w:rPr>
        <w:t>A procurement process can be roughly divided into three phases: a planning phase, a competition phase, and a contract phase. The rules regarding access to information differ in each phase.</w:t>
      </w:r>
    </w:p>
    <w:p w14:paraId="487DA5AD" w14:textId="77777777" w:rsidR="00BD6A6F" w:rsidRPr="00F171C8" w:rsidRDefault="00BD6A6F" w:rsidP="00BD6A6F">
      <w:pPr>
        <w:rPr>
          <w:lang w:val="en-GB"/>
        </w:rPr>
      </w:pPr>
      <w:r w:rsidRPr="00F171C8">
        <w:rPr>
          <w:lang w:val="en-GB"/>
        </w:rPr>
        <w:t>In the planning phase, most information can be exempted from access. Documents related to the planning of the competition and various assessments and inputs provided in connection with this can be exempted as internal documents of the organization, in accordance with the Public Access to Information Act § 14, subsection 1.</w:t>
      </w:r>
    </w:p>
    <w:p w14:paraId="4A283F8D" w14:textId="0415BA16" w:rsidR="00E45534" w:rsidRPr="00F171C8" w:rsidRDefault="00BD6A6F" w:rsidP="00BD6A6F">
      <w:pPr>
        <w:rPr>
          <w:lang w:val="en-GB"/>
        </w:rPr>
      </w:pPr>
      <w:r w:rsidRPr="00F171C8">
        <w:rPr>
          <w:lang w:val="en-GB"/>
        </w:rPr>
        <w:t xml:space="preserve">While the competition is ongoing, documents such as </w:t>
      </w:r>
      <w:r w:rsidR="009E006D">
        <w:rPr>
          <w:lang w:val="en-GB"/>
        </w:rPr>
        <w:t>tenders</w:t>
      </w:r>
      <w:r w:rsidRPr="00F171C8">
        <w:rPr>
          <w:lang w:val="en-GB"/>
        </w:rPr>
        <w:t>, evaluations, and records are automatically exempted under the Public Access to Information Act § 23, subsection 3. This exemption applies until the competition is concluded, and the supplier is chosen. Access cannot be delayed until after a contract has been awarded.</w:t>
      </w:r>
    </w:p>
    <w:p w14:paraId="051AE8DB" w14:textId="56B2F75C" w:rsidR="00E45534" w:rsidRPr="00F171C8" w:rsidRDefault="00707C1A" w:rsidP="00D94FDB">
      <w:pPr>
        <w:pStyle w:val="Overskrift1"/>
        <w:numPr>
          <w:ilvl w:val="0"/>
          <w:numId w:val="10"/>
        </w:numPr>
        <w:rPr>
          <w:color w:val="auto"/>
          <w:lang w:val="en-GB"/>
        </w:rPr>
      </w:pPr>
      <w:r w:rsidRPr="00F171C8">
        <w:rPr>
          <w:lang w:val="en-GB"/>
        </w:rPr>
        <w:t>Access After the Competition Is Concluded</w:t>
      </w:r>
    </w:p>
    <w:p w14:paraId="7463CADC" w14:textId="5229FCCB" w:rsidR="00E45534" w:rsidRPr="00F171C8" w:rsidRDefault="001463E0" w:rsidP="00E45534">
      <w:pPr>
        <w:rPr>
          <w:lang w:val="en-GB"/>
        </w:rPr>
      </w:pPr>
      <w:r w:rsidRPr="00F171C8">
        <w:rPr>
          <w:lang w:val="en-GB"/>
        </w:rPr>
        <w:t xml:space="preserve">When the competition is concluded, it becomes of interest to several parties to gain access to the basis for the outcome. It is most likely that suppliers who were not awarded the contract would want to gain access to the winning </w:t>
      </w:r>
      <w:r w:rsidR="00061854">
        <w:rPr>
          <w:lang w:val="en-GB"/>
        </w:rPr>
        <w:t>tender</w:t>
      </w:r>
      <w:r w:rsidR="00061854" w:rsidRPr="00F171C8">
        <w:rPr>
          <w:lang w:val="en-GB"/>
        </w:rPr>
        <w:t xml:space="preserve"> </w:t>
      </w:r>
      <w:r w:rsidRPr="00F171C8">
        <w:rPr>
          <w:lang w:val="en-GB"/>
        </w:rPr>
        <w:t xml:space="preserve">or </w:t>
      </w:r>
      <w:r w:rsidR="00061854">
        <w:rPr>
          <w:lang w:val="en-GB"/>
        </w:rPr>
        <w:t>tender</w:t>
      </w:r>
      <w:r w:rsidR="002215AD">
        <w:rPr>
          <w:lang w:val="en-GB"/>
        </w:rPr>
        <w:t>s</w:t>
      </w:r>
      <w:r w:rsidRPr="00F171C8">
        <w:rPr>
          <w:lang w:val="en-GB"/>
        </w:rPr>
        <w:t>. For the right to appeal to be meaningful, the supplier must be granted access to the documents or information that are not subject to confidentiality and provided with sufficient time to review the documents or information.</w:t>
      </w:r>
    </w:p>
    <w:p w14:paraId="336A47B1" w14:textId="43DD8C2D" w:rsidR="00E45534" w:rsidRPr="00F171C8" w:rsidRDefault="0095432D" w:rsidP="00111067">
      <w:pPr>
        <w:pStyle w:val="Overskrift2"/>
        <w:numPr>
          <w:ilvl w:val="1"/>
          <w:numId w:val="9"/>
        </w:numPr>
        <w:rPr>
          <w:lang w:val="en-GB"/>
        </w:rPr>
      </w:pPr>
      <w:r w:rsidRPr="00F171C8">
        <w:rPr>
          <w:rFonts w:asciiTheme="minorHAnsi" w:hAnsiTheme="minorHAnsi" w:cstheme="minorHAnsi"/>
          <w:lang w:val="en-GB"/>
        </w:rPr>
        <w:t>The Public Administration Act</w:t>
      </w:r>
      <w:r w:rsidR="00E45534" w:rsidRPr="00F171C8">
        <w:rPr>
          <w:lang w:val="en-GB"/>
        </w:rPr>
        <w:t xml:space="preserve"> §13 2</w:t>
      </w:r>
      <w:r w:rsidR="00A55096" w:rsidRPr="00F171C8">
        <w:rPr>
          <w:lang w:val="en-GB"/>
        </w:rPr>
        <w:t>)</w:t>
      </w:r>
    </w:p>
    <w:p w14:paraId="0F4D2F30" w14:textId="3D653671" w:rsidR="00E45534" w:rsidRPr="00F171C8" w:rsidRDefault="001B44FB" w:rsidP="00E45534">
      <w:pPr>
        <w:rPr>
          <w:lang w:val="en-GB"/>
        </w:rPr>
      </w:pPr>
      <w:r w:rsidRPr="00F171C8">
        <w:rPr>
          <w:lang w:val="en-GB"/>
        </w:rPr>
        <w:t xml:space="preserve">Even though transparency and openness are to be practiced, there is also a duty of confidentiality regarding the information and documents that individuals in employment </w:t>
      </w:r>
      <w:proofErr w:type="gramStart"/>
      <w:r w:rsidRPr="00F171C8">
        <w:rPr>
          <w:lang w:val="en-GB"/>
        </w:rPr>
        <w:t>come into contact with</w:t>
      </w:r>
      <w:proofErr w:type="gramEnd"/>
      <w:r w:rsidRPr="00F171C8">
        <w:rPr>
          <w:lang w:val="en-GB"/>
        </w:rPr>
        <w:t xml:space="preserve">. In the context of public procurement, the provision in </w:t>
      </w:r>
      <w:r w:rsidR="009B64D8" w:rsidRPr="00F171C8">
        <w:rPr>
          <w:lang w:val="en-GB"/>
        </w:rPr>
        <w:t>the Public Administration Act</w:t>
      </w:r>
      <w:r w:rsidRPr="00F171C8">
        <w:rPr>
          <w:lang w:val="en-GB"/>
        </w:rPr>
        <w:t xml:space="preserve"> § 13, 2) is the most relevant.</w:t>
      </w:r>
    </w:p>
    <w:p w14:paraId="1F180EC5" w14:textId="4AEEAA33" w:rsidR="00E45534" w:rsidRPr="00F171C8" w:rsidRDefault="00E45534" w:rsidP="00E45534">
      <w:pPr>
        <w:rPr>
          <w:rStyle w:val="Utheving"/>
          <w:lang w:val="en-GB"/>
        </w:rPr>
      </w:pPr>
      <w:r w:rsidRPr="00F171C8">
        <w:rPr>
          <w:rStyle w:val="Utheving"/>
          <w:lang w:val="en-GB"/>
        </w:rPr>
        <w:t>"</w:t>
      </w:r>
      <w:r w:rsidR="005A2C05" w:rsidRPr="00F171C8">
        <w:rPr>
          <w:rStyle w:val="Utheving"/>
          <w:lang w:val="en-GB"/>
        </w:rPr>
        <w:t>T</w:t>
      </w:r>
      <w:r w:rsidR="00AE6966" w:rsidRPr="00F171C8">
        <w:rPr>
          <w:rStyle w:val="Utheving"/>
          <w:lang w:val="en-GB"/>
        </w:rPr>
        <w:t>he Public Administration Act</w:t>
      </w:r>
      <w:r w:rsidR="005F7207" w:rsidRPr="00F171C8">
        <w:rPr>
          <w:rStyle w:val="Utheving"/>
          <w:lang w:val="en-GB"/>
        </w:rPr>
        <w:t xml:space="preserve"> § 13, 2): Technical devices and procedures, as well as operational or business matters, which it would be of competitive significance to keep confidential in the interest of the party to whom the information pertains.</w:t>
      </w:r>
      <w:r w:rsidRPr="00F171C8">
        <w:rPr>
          <w:rStyle w:val="Utheving"/>
          <w:lang w:val="en-GB"/>
        </w:rPr>
        <w:t>"</w:t>
      </w:r>
    </w:p>
    <w:p w14:paraId="44C7072C" w14:textId="4F12D9E3" w:rsidR="00E25E01" w:rsidRPr="00F171C8" w:rsidRDefault="00E25E01" w:rsidP="00E45534">
      <w:pPr>
        <w:rPr>
          <w:lang w:val="en-GB"/>
        </w:rPr>
      </w:pPr>
      <w:r w:rsidRPr="00F171C8">
        <w:rPr>
          <w:lang w:val="en-GB"/>
        </w:rPr>
        <w:lastRenderedPageBreak/>
        <w:t xml:space="preserve">The provision of The Public Administration Act is also referred to in </w:t>
      </w:r>
      <w:r w:rsidR="002C17B4" w:rsidRPr="00F171C8">
        <w:rPr>
          <w:lang w:val="en-GB"/>
        </w:rPr>
        <w:t>the Norwegian Regulation of August 12, 2016, No. 974 on Public Procurements (the Procurement Regulation)</w:t>
      </w:r>
      <w:r w:rsidRPr="00F171C8">
        <w:rPr>
          <w:lang w:val="en-GB"/>
        </w:rPr>
        <w:t xml:space="preserve"> § 7-3. The provision in § 13, 2) contains three conditions that must be met for information to be subject to confidentiality. If all the conditions are met, the information is subject to confidentiality. It is associated with criminal liability to disclose information that is subject to confidentiality.</w:t>
      </w:r>
    </w:p>
    <w:p w14:paraId="671D7129" w14:textId="0EACB296" w:rsidR="00E45534" w:rsidRPr="00F171C8" w:rsidRDefault="00E25E01" w:rsidP="00E45534">
      <w:pPr>
        <w:rPr>
          <w:lang w:val="en-GB"/>
        </w:rPr>
      </w:pPr>
      <w:r w:rsidRPr="00F171C8">
        <w:rPr>
          <w:lang w:val="en-GB"/>
        </w:rPr>
        <w:t>The provision refers to information and not entire documents.</w:t>
      </w:r>
    </w:p>
    <w:p w14:paraId="01392753" w14:textId="77777777" w:rsidR="00E25E01" w:rsidRPr="00F171C8" w:rsidRDefault="00E25E01" w:rsidP="00E45534">
      <w:pPr>
        <w:rPr>
          <w:lang w:val="en-GB"/>
        </w:rPr>
      </w:pPr>
    </w:p>
    <w:p w14:paraId="6F8B3205" w14:textId="07870FF9" w:rsidR="00E45534" w:rsidRPr="00F171C8" w:rsidRDefault="0079734C" w:rsidP="009F2952">
      <w:pPr>
        <w:pStyle w:val="Overskrift3"/>
        <w:numPr>
          <w:ilvl w:val="2"/>
          <w:numId w:val="9"/>
        </w:numPr>
        <w:rPr>
          <w:lang w:val="en-GB"/>
        </w:rPr>
      </w:pPr>
      <w:r w:rsidRPr="00F171C8">
        <w:rPr>
          <w:lang w:val="en-GB"/>
        </w:rPr>
        <w:t xml:space="preserve">Technical Devices and Procedures, as well as </w:t>
      </w:r>
      <w:r w:rsidR="00EF3649" w:rsidRPr="00F171C8">
        <w:rPr>
          <w:lang w:val="en-GB"/>
        </w:rPr>
        <w:t>Operational</w:t>
      </w:r>
      <w:r w:rsidRPr="00F171C8">
        <w:rPr>
          <w:lang w:val="en-GB"/>
        </w:rPr>
        <w:t xml:space="preserve"> or Business Matters</w:t>
      </w:r>
    </w:p>
    <w:p w14:paraId="4DB1DD38" w14:textId="77777777" w:rsidR="003214ED" w:rsidRPr="00F171C8" w:rsidRDefault="003214ED" w:rsidP="00E45534">
      <w:pPr>
        <w:rPr>
          <w:lang w:val="en-GB"/>
        </w:rPr>
      </w:pPr>
      <w:r w:rsidRPr="00F171C8">
        <w:rPr>
          <w:lang w:val="en-GB"/>
        </w:rPr>
        <w:t xml:space="preserve">This is </w:t>
      </w:r>
      <w:proofErr w:type="gramStart"/>
      <w:r w:rsidRPr="00F171C8">
        <w:rPr>
          <w:lang w:val="en-GB"/>
        </w:rPr>
        <w:t>most commonly referred</w:t>
      </w:r>
      <w:proofErr w:type="gramEnd"/>
      <w:r w:rsidRPr="00F171C8">
        <w:rPr>
          <w:lang w:val="en-GB"/>
        </w:rPr>
        <w:t xml:space="preserve"> to as "trade secrets." There is no further description of what this entails, so a specific assessment of the information in each individual case must be made.</w:t>
      </w:r>
    </w:p>
    <w:p w14:paraId="1D7BEDB0" w14:textId="37185D21" w:rsidR="00E45534" w:rsidRPr="00F171C8" w:rsidRDefault="003214ED" w:rsidP="00E45534">
      <w:pPr>
        <w:rPr>
          <w:lang w:val="en-GB"/>
        </w:rPr>
      </w:pPr>
      <w:r w:rsidRPr="00F171C8">
        <w:rPr>
          <w:lang w:val="en-GB"/>
        </w:rPr>
        <w:t>Practice around the provision suggests that the following information is most often considered trade secrets:</w:t>
      </w:r>
    </w:p>
    <w:p w14:paraId="454D7874" w14:textId="4EA6B3E5" w:rsidR="003214ED" w:rsidRPr="00F171C8" w:rsidRDefault="003214ED" w:rsidP="008F10B9">
      <w:pPr>
        <w:pStyle w:val="Listeavsnitt"/>
        <w:numPr>
          <w:ilvl w:val="0"/>
          <w:numId w:val="2"/>
        </w:numPr>
        <w:rPr>
          <w:lang w:val="en-GB"/>
        </w:rPr>
      </w:pPr>
      <w:r w:rsidRPr="00F171C8">
        <w:rPr>
          <w:lang w:val="en-GB"/>
        </w:rPr>
        <w:t>Unit prices, as well as information that can contribute to identifying unit prices (e.g., invoices).</w:t>
      </w:r>
    </w:p>
    <w:p w14:paraId="4812DE18" w14:textId="5ABED889" w:rsidR="003214ED" w:rsidRPr="00F171C8" w:rsidRDefault="003214ED" w:rsidP="008F10B9">
      <w:pPr>
        <w:pStyle w:val="Listeavsnitt"/>
        <w:numPr>
          <w:ilvl w:val="0"/>
          <w:numId w:val="2"/>
        </w:numPr>
        <w:rPr>
          <w:lang w:val="en-GB"/>
        </w:rPr>
      </w:pPr>
      <w:r w:rsidRPr="00F171C8">
        <w:rPr>
          <w:lang w:val="en-GB"/>
        </w:rPr>
        <w:t>Discount percentages.</w:t>
      </w:r>
    </w:p>
    <w:p w14:paraId="16DF2466" w14:textId="397B3604" w:rsidR="003214ED" w:rsidRPr="00F171C8" w:rsidRDefault="003214ED" w:rsidP="008F10B9">
      <w:pPr>
        <w:pStyle w:val="Listeavsnitt"/>
        <w:numPr>
          <w:ilvl w:val="0"/>
          <w:numId w:val="2"/>
        </w:numPr>
        <w:rPr>
          <w:lang w:val="en-GB"/>
        </w:rPr>
      </w:pPr>
      <w:r w:rsidRPr="00F171C8">
        <w:rPr>
          <w:lang w:val="en-GB"/>
        </w:rPr>
        <w:t>Operating margins.</w:t>
      </w:r>
    </w:p>
    <w:p w14:paraId="09842331" w14:textId="4E5256D1" w:rsidR="003214ED" w:rsidRPr="00F171C8" w:rsidRDefault="003214ED" w:rsidP="008F10B9">
      <w:pPr>
        <w:pStyle w:val="Listeavsnitt"/>
        <w:numPr>
          <w:ilvl w:val="0"/>
          <w:numId w:val="2"/>
        </w:numPr>
        <w:rPr>
          <w:lang w:val="en-GB"/>
        </w:rPr>
      </w:pPr>
      <w:r w:rsidRPr="00F171C8">
        <w:rPr>
          <w:lang w:val="en-GB"/>
        </w:rPr>
        <w:t>Production methods specific to the supplier.</w:t>
      </w:r>
    </w:p>
    <w:p w14:paraId="2D46C2E1" w14:textId="7CA3FFE3" w:rsidR="003214ED" w:rsidRPr="00F171C8" w:rsidRDefault="003214ED" w:rsidP="008F10B9">
      <w:pPr>
        <w:pStyle w:val="Listeavsnitt"/>
        <w:numPr>
          <w:ilvl w:val="0"/>
          <w:numId w:val="2"/>
        </w:numPr>
        <w:rPr>
          <w:lang w:val="en-GB"/>
        </w:rPr>
      </w:pPr>
      <w:r w:rsidRPr="00F171C8">
        <w:rPr>
          <w:lang w:val="en-GB"/>
        </w:rPr>
        <w:t>Information related to product development/future product launches.</w:t>
      </w:r>
    </w:p>
    <w:p w14:paraId="0EAEEE6F" w14:textId="2546AEFA" w:rsidR="003214ED" w:rsidRPr="00F171C8" w:rsidRDefault="003214ED" w:rsidP="008F10B9">
      <w:pPr>
        <w:pStyle w:val="Listeavsnitt"/>
        <w:numPr>
          <w:ilvl w:val="0"/>
          <w:numId w:val="2"/>
        </w:numPr>
        <w:rPr>
          <w:lang w:val="en-GB"/>
        </w:rPr>
      </w:pPr>
      <w:r w:rsidRPr="00F171C8">
        <w:rPr>
          <w:lang w:val="en-GB"/>
        </w:rPr>
        <w:t>Technical drawings or descriptions.</w:t>
      </w:r>
    </w:p>
    <w:p w14:paraId="333F60D7" w14:textId="34B5A772" w:rsidR="003214ED" w:rsidRPr="00F171C8" w:rsidRDefault="003214ED" w:rsidP="008F10B9">
      <w:pPr>
        <w:pStyle w:val="Listeavsnitt"/>
        <w:numPr>
          <w:ilvl w:val="0"/>
          <w:numId w:val="2"/>
        </w:numPr>
        <w:rPr>
          <w:lang w:val="en-GB"/>
        </w:rPr>
      </w:pPr>
      <w:r w:rsidRPr="00F171C8">
        <w:rPr>
          <w:lang w:val="en-GB"/>
        </w:rPr>
        <w:t>Unique features of the product ("the secret ingredient").</w:t>
      </w:r>
    </w:p>
    <w:p w14:paraId="517835A6" w14:textId="77777777" w:rsidR="008F10B9" w:rsidRPr="00F171C8" w:rsidRDefault="008F10B9" w:rsidP="008F10B9">
      <w:pPr>
        <w:rPr>
          <w:lang w:val="en-GB"/>
        </w:rPr>
      </w:pPr>
    </w:p>
    <w:p w14:paraId="7C1A78CA" w14:textId="77777777" w:rsidR="008F10B9" w:rsidRPr="00F171C8" w:rsidRDefault="008F10B9" w:rsidP="008F10B9">
      <w:pPr>
        <w:rPr>
          <w:lang w:val="en-GB"/>
        </w:rPr>
      </w:pPr>
      <w:r w:rsidRPr="00F171C8">
        <w:rPr>
          <w:lang w:val="en-GB"/>
        </w:rPr>
        <w:t>The following information may be subject to confidentiality, but a specific assessment must be made:</w:t>
      </w:r>
    </w:p>
    <w:p w14:paraId="1E98D280" w14:textId="5C72BF1A" w:rsidR="008F10B9" w:rsidRPr="00F171C8" w:rsidRDefault="008F10B9" w:rsidP="0022503D">
      <w:pPr>
        <w:pStyle w:val="Listeavsnitt"/>
        <w:numPr>
          <w:ilvl w:val="0"/>
          <w:numId w:val="2"/>
        </w:numPr>
        <w:rPr>
          <w:lang w:val="en-GB"/>
        </w:rPr>
      </w:pPr>
      <w:r w:rsidRPr="00F171C8">
        <w:rPr>
          <w:lang w:val="en-GB"/>
        </w:rPr>
        <w:t>Unit prices if the market is subject to frequent changes (e.g., where the price is determined based on a commodity exchange or is highly seasonal).</w:t>
      </w:r>
    </w:p>
    <w:p w14:paraId="67D02861" w14:textId="4DC07B2E" w:rsidR="008F10B9" w:rsidRPr="00F171C8" w:rsidRDefault="008F10B9" w:rsidP="0022503D">
      <w:pPr>
        <w:pStyle w:val="Listeavsnitt"/>
        <w:numPr>
          <w:ilvl w:val="0"/>
          <w:numId w:val="2"/>
        </w:numPr>
        <w:rPr>
          <w:lang w:val="en-GB"/>
        </w:rPr>
      </w:pPr>
      <w:r w:rsidRPr="00F171C8">
        <w:rPr>
          <w:lang w:val="en-GB"/>
        </w:rPr>
        <w:t>Composition of products in an offer (product mix).</w:t>
      </w:r>
    </w:p>
    <w:p w14:paraId="37A9EDB3" w14:textId="4B888ADC" w:rsidR="008F10B9" w:rsidRPr="00F171C8" w:rsidRDefault="008F10B9" w:rsidP="0022503D">
      <w:pPr>
        <w:pStyle w:val="Listeavsnitt"/>
        <w:numPr>
          <w:ilvl w:val="0"/>
          <w:numId w:val="2"/>
        </w:numPr>
        <w:rPr>
          <w:lang w:val="en-GB"/>
        </w:rPr>
      </w:pPr>
      <w:r w:rsidRPr="00F171C8">
        <w:rPr>
          <w:lang w:val="en-GB"/>
        </w:rPr>
        <w:t>Customer lists/reference customers.</w:t>
      </w:r>
    </w:p>
    <w:p w14:paraId="0D10CB6A" w14:textId="5AAEC8B7" w:rsidR="008F10B9" w:rsidRPr="00F171C8" w:rsidRDefault="008F10B9" w:rsidP="0022503D">
      <w:pPr>
        <w:pStyle w:val="Listeavsnitt"/>
        <w:numPr>
          <w:ilvl w:val="0"/>
          <w:numId w:val="2"/>
        </w:numPr>
        <w:rPr>
          <w:lang w:val="en-GB"/>
        </w:rPr>
      </w:pPr>
      <w:r w:rsidRPr="00F171C8">
        <w:rPr>
          <w:lang w:val="en-GB"/>
        </w:rPr>
        <w:t>Business partners/subcontractors.</w:t>
      </w:r>
    </w:p>
    <w:p w14:paraId="58585DC0" w14:textId="6BEFA432" w:rsidR="008F10B9" w:rsidRPr="00F171C8" w:rsidRDefault="008F10B9" w:rsidP="0022503D">
      <w:pPr>
        <w:pStyle w:val="Listeavsnitt"/>
        <w:numPr>
          <w:ilvl w:val="0"/>
          <w:numId w:val="2"/>
        </w:numPr>
        <w:rPr>
          <w:lang w:val="en-GB"/>
        </w:rPr>
      </w:pPr>
      <w:r w:rsidRPr="00F171C8">
        <w:rPr>
          <w:lang w:val="en-GB"/>
        </w:rPr>
        <w:t>Future marketing initiatives/campaigns.</w:t>
      </w:r>
    </w:p>
    <w:p w14:paraId="51116A16" w14:textId="7FFB9A3E" w:rsidR="008F10B9" w:rsidRPr="00F171C8" w:rsidRDefault="008F10B9" w:rsidP="0022503D">
      <w:pPr>
        <w:pStyle w:val="Listeavsnitt"/>
        <w:numPr>
          <w:ilvl w:val="0"/>
          <w:numId w:val="2"/>
        </w:numPr>
        <w:rPr>
          <w:lang w:val="en-GB"/>
        </w:rPr>
      </w:pPr>
      <w:r w:rsidRPr="00F171C8">
        <w:rPr>
          <w:lang w:val="en-GB"/>
        </w:rPr>
        <w:t>Changes in company structure.</w:t>
      </w:r>
    </w:p>
    <w:p w14:paraId="23680936" w14:textId="62ACB236" w:rsidR="008F10B9" w:rsidRPr="00F171C8" w:rsidRDefault="008F10B9" w:rsidP="0022503D">
      <w:pPr>
        <w:pStyle w:val="Listeavsnitt"/>
        <w:numPr>
          <w:ilvl w:val="0"/>
          <w:numId w:val="2"/>
        </w:numPr>
        <w:rPr>
          <w:lang w:val="en-GB"/>
        </w:rPr>
      </w:pPr>
      <w:r w:rsidRPr="00F171C8">
        <w:rPr>
          <w:lang w:val="en-GB"/>
        </w:rPr>
        <w:t>Sales/acquisitions.</w:t>
      </w:r>
    </w:p>
    <w:p w14:paraId="10EFEACA" w14:textId="77777777" w:rsidR="0022503D" w:rsidRPr="00F171C8" w:rsidRDefault="0022503D" w:rsidP="008F10B9">
      <w:pPr>
        <w:rPr>
          <w:lang w:val="en-GB"/>
        </w:rPr>
      </w:pPr>
    </w:p>
    <w:p w14:paraId="5CB9A827" w14:textId="77777777" w:rsidR="0022503D" w:rsidRPr="00F171C8" w:rsidRDefault="0022503D" w:rsidP="0022503D">
      <w:pPr>
        <w:ind w:left="360"/>
        <w:rPr>
          <w:lang w:val="en-GB"/>
        </w:rPr>
      </w:pPr>
      <w:r w:rsidRPr="00F171C8">
        <w:rPr>
          <w:lang w:val="en-GB"/>
        </w:rPr>
        <w:t>On the third level, there is information that is not generally considered confidential. Examples include:</w:t>
      </w:r>
    </w:p>
    <w:p w14:paraId="5974C971" w14:textId="3B2E339C"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Already publicly disclosed or known in the market.</w:t>
      </w:r>
    </w:p>
    <w:p w14:paraId="7060D5C1" w14:textId="2FD3EB49"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 xml:space="preserve">Total prices in the </w:t>
      </w:r>
      <w:r w:rsidR="00061854">
        <w:rPr>
          <w:rFonts w:asciiTheme="minorHAnsi" w:hAnsiTheme="minorHAnsi" w:cstheme="minorBidi"/>
          <w:noProof w:val="0"/>
          <w:color w:val="auto"/>
          <w:kern w:val="2"/>
          <w:lang w:val="en-GB"/>
          <w14:ligatures w14:val="standardContextual"/>
        </w:rPr>
        <w:t>tender</w:t>
      </w:r>
      <w:r w:rsidRPr="00F171C8">
        <w:rPr>
          <w:rFonts w:asciiTheme="minorHAnsi" w:hAnsiTheme="minorHAnsi" w:cstheme="minorBidi"/>
          <w:noProof w:val="0"/>
          <w:color w:val="auto"/>
          <w:kern w:val="2"/>
          <w:lang w:val="en-GB"/>
          <w14:ligatures w14:val="standardContextual"/>
        </w:rPr>
        <w:t>.</w:t>
      </w:r>
    </w:p>
    <w:p w14:paraId="4DF547EC" w14:textId="282B2164"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Production capacity - quantity.</w:t>
      </w:r>
    </w:p>
    <w:p w14:paraId="55D4F77C" w14:textId="6FF62CCD"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 xml:space="preserve">CVs of the </w:t>
      </w:r>
      <w:r w:rsidR="00061854">
        <w:rPr>
          <w:rFonts w:asciiTheme="minorHAnsi" w:hAnsiTheme="minorHAnsi" w:cstheme="minorBidi"/>
          <w:noProof w:val="0"/>
          <w:color w:val="auto"/>
          <w:kern w:val="2"/>
          <w:lang w:val="en-GB"/>
          <w14:ligatures w14:val="standardContextual"/>
        </w:rPr>
        <w:t>tender’s</w:t>
      </w:r>
      <w:r w:rsidR="00061854" w:rsidRPr="00F171C8">
        <w:rPr>
          <w:rFonts w:asciiTheme="minorHAnsi" w:hAnsiTheme="minorHAnsi" w:cstheme="minorBidi"/>
          <w:noProof w:val="0"/>
          <w:color w:val="auto"/>
          <w:kern w:val="2"/>
          <w:lang w:val="en-GB"/>
          <w14:ligatures w14:val="standardContextual"/>
        </w:rPr>
        <w:t xml:space="preserve"> </w:t>
      </w:r>
      <w:r w:rsidRPr="00F171C8">
        <w:rPr>
          <w:rFonts w:asciiTheme="minorHAnsi" w:hAnsiTheme="minorHAnsi" w:cstheme="minorBidi"/>
          <w:noProof w:val="0"/>
          <w:color w:val="auto"/>
          <w:kern w:val="2"/>
          <w:lang w:val="en-GB"/>
          <w14:ligatures w14:val="standardContextual"/>
        </w:rPr>
        <w:t>resources.</w:t>
      </w:r>
    </w:p>
    <w:p w14:paraId="66272636" w14:textId="3E97012C"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Composition of the team.</w:t>
      </w:r>
    </w:p>
    <w:p w14:paraId="06F1E17A" w14:textId="3426DCA0"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lastRenderedPageBreak/>
        <w:t>Unethical practices revealed in the response (social exploitation, illegal production methods, goods produced in countries with trade restrictions, or import embargoes).</w:t>
      </w:r>
    </w:p>
    <w:p w14:paraId="0863C277" w14:textId="5221BA25"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 xml:space="preserve">Whether the </w:t>
      </w:r>
      <w:r w:rsidR="00061854">
        <w:rPr>
          <w:rFonts w:asciiTheme="minorHAnsi" w:hAnsiTheme="minorHAnsi" w:cstheme="minorBidi"/>
          <w:noProof w:val="0"/>
          <w:color w:val="auto"/>
          <w:kern w:val="2"/>
          <w:lang w:val="en-GB"/>
          <w14:ligatures w14:val="standardContextual"/>
        </w:rPr>
        <w:t>tenderer</w:t>
      </w:r>
      <w:r w:rsidR="00061854" w:rsidRPr="00F171C8">
        <w:rPr>
          <w:rFonts w:asciiTheme="minorHAnsi" w:hAnsiTheme="minorHAnsi" w:cstheme="minorBidi"/>
          <w:noProof w:val="0"/>
          <w:color w:val="auto"/>
          <w:kern w:val="2"/>
          <w:lang w:val="en-GB"/>
          <w14:ligatures w14:val="standardContextual"/>
        </w:rPr>
        <w:t xml:space="preserve"> </w:t>
      </w:r>
      <w:r w:rsidRPr="00F171C8">
        <w:rPr>
          <w:rFonts w:asciiTheme="minorHAnsi" w:hAnsiTheme="minorHAnsi" w:cstheme="minorBidi"/>
          <w:noProof w:val="0"/>
          <w:color w:val="auto"/>
          <w:kern w:val="2"/>
          <w:lang w:val="en-GB"/>
          <w14:ligatures w14:val="standardContextual"/>
        </w:rPr>
        <w:t>has a criminal record.</w:t>
      </w:r>
    </w:p>
    <w:p w14:paraId="76280B18" w14:textId="2EE1FC54" w:rsidR="0022503D" w:rsidRPr="00F171C8" w:rsidRDefault="0022503D" w:rsidP="0022503D">
      <w:pPr>
        <w:pStyle w:val="Listeavsnitt"/>
        <w:numPr>
          <w:ilvl w:val="0"/>
          <w:numId w:val="3"/>
        </w:numPr>
        <w:rPr>
          <w:rFonts w:asciiTheme="minorHAnsi" w:hAnsiTheme="minorHAnsi" w:cstheme="minorBidi"/>
          <w:noProof w:val="0"/>
          <w:color w:val="auto"/>
          <w:kern w:val="2"/>
          <w:lang w:val="en-GB"/>
          <w14:ligatures w14:val="standardContextual"/>
        </w:rPr>
      </w:pPr>
      <w:r w:rsidRPr="00F171C8">
        <w:rPr>
          <w:rFonts w:asciiTheme="minorHAnsi" w:hAnsiTheme="minorHAnsi" w:cstheme="minorBidi"/>
          <w:noProof w:val="0"/>
          <w:color w:val="auto"/>
          <w:kern w:val="2"/>
          <w:lang w:val="en-GB"/>
          <w14:ligatures w14:val="standardContextual"/>
        </w:rPr>
        <w:t>Information that could generate negative reactions in the market.</w:t>
      </w:r>
    </w:p>
    <w:p w14:paraId="7162A290" w14:textId="6392CAD1" w:rsidR="00E45534" w:rsidRPr="00F171C8" w:rsidRDefault="0022503D" w:rsidP="0022503D">
      <w:pPr>
        <w:pStyle w:val="Listeavsnitt"/>
        <w:numPr>
          <w:ilvl w:val="0"/>
          <w:numId w:val="3"/>
        </w:numPr>
        <w:rPr>
          <w:lang w:val="en-GB"/>
        </w:rPr>
      </w:pPr>
      <w:r w:rsidRPr="00F171C8">
        <w:rPr>
          <w:rFonts w:asciiTheme="minorHAnsi" w:hAnsiTheme="minorHAnsi" w:cstheme="minorBidi"/>
          <w:noProof w:val="0"/>
          <w:color w:val="auto"/>
          <w:kern w:val="2"/>
          <w:lang w:val="en-GB"/>
          <w14:ligatures w14:val="standardContextual"/>
        </w:rPr>
        <w:t>Information that could conceal violations of the law.</w:t>
      </w:r>
    </w:p>
    <w:p w14:paraId="3F1905A7" w14:textId="77777777" w:rsidR="00BB287B" w:rsidRPr="00F171C8" w:rsidRDefault="00BB287B" w:rsidP="00BB287B">
      <w:pPr>
        <w:rPr>
          <w:lang w:val="en-GB"/>
        </w:rPr>
      </w:pPr>
      <w:r w:rsidRPr="00F171C8">
        <w:rPr>
          <w:lang w:val="en-GB"/>
        </w:rPr>
        <w:t>The lists of points here are not exhaustive. This listing only provides an indication of what can be included when making an independent assessment of the term "trade secret."</w:t>
      </w:r>
    </w:p>
    <w:p w14:paraId="4E68D310" w14:textId="5713A767" w:rsidR="00E45534" w:rsidRPr="00F171C8" w:rsidRDefault="00BB287B" w:rsidP="00BB287B">
      <w:pPr>
        <w:rPr>
          <w:lang w:val="en-GB"/>
        </w:rPr>
      </w:pPr>
      <w:r w:rsidRPr="00F171C8">
        <w:rPr>
          <w:lang w:val="en-GB"/>
        </w:rPr>
        <w:t>However, it is not sufficient to assess the nature of the information or the points presented here. To make a sufficient assessment, the Contracting Authority must describe the extent to which the other conditions in the provision are met.</w:t>
      </w:r>
    </w:p>
    <w:p w14:paraId="2675E54E" w14:textId="77777777" w:rsidR="00E45534" w:rsidRPr="00F171C8" w:rsidRDefault="00E45534" w:rsidP="00E45534">
      <w:pPr>
        <w:rPr>
          <w:lang w:val="en-GB"/>
        </w:rPr>
      </w:pPr>
    </w:p>
    <w:p w14:paraId="13EAA8AC" w14:textId="151FA4A1" w:rsidR="00E45534" w:rsidRPr="00F171C8" w:rsidRDefault="005B7CBE" w:rsidP="009F2952">
      <w:pPr>
        <w:pStyle w:val="Overskrift3"/>
        <w:numPr>
          <w:ilvl w:val="2"/>
          <w:numId w:val="9"/>
        </w:numPr>
        <w:rPr>
          <w:lang w:val="en-GB"/>
        </w:rPr>
      </w:pPr>
      <w:r w:rsidRPr="00F171C8">
        <w:rPr>
          <w:lang w:val="en-GB"/>
        </w:rPr>
        <w:t>Competitive Significance of Confidentiality</w:t>
      </w:r>
    </w:p>
    <w:p w14:paraId="7693FA9E" w14:textId="77777777" w:rsidR="00033BCF" w:rsidRPr="00F171C8" w:rsidRDefault="00033BCF" w:rsidP="00033BCF">
      <w:pPr>
        <w:rPr>
          <w:lang w:val="en-GB"/>
        </w:rPr>
      </w:pPr>
      <w:r w:rsidRPr="00F171C8">
        <w:rPr>
          <w:lang w:val="en-GB"/>
        </w:rPr>
        <w:t>In this context, the Contracting Authority may not necessarily possess expertise regarding the specific conditions in the current market or industry to which the procurement or contract is directed. It may be advisable to contact the party to whom the information pertains to obtain their assessment. However, relying solely on a self-assessment from a supplier is not sufficient. The regulations require the Contracting Authority to conduct an independent assessment of whether the conditions are met.</w:t>
      </w:r>
    </w:p>
    <w:p w14:paraId="48E328E5" w14:textId="77777777" w:rsidR="00033BCF" w:rsidRPr="00F171C8" w:rsidRDefault="00033BCF" w:rsidP="00033BCF">
      <w:pPr>
        <w:rPr>
          <w:lang w:val="en-GB"/>
        </w:rPr>
      </w:pPr>
      <w:r w:rsidRPr="00F171C8">
        <w:rPr>
          <w:lang w:val="en-GB"/>
        </w:rPr>
        <w:t>In small markets with few players and a high level of information exchange among them, the competitive significance of disclosure may be minimal or entirely absent. In larger markets with assumed high competition among players, there is a greater likelihood that information may have competitive significance.</w:t>
      </w:r>
    </w:p>
    <w:p w14:paraId="45188D30" w14:textId="77777777" w:rsidR="00033BCF" w:rsidRPr="00F171C8" w:rsidRDefault="00033BCF" w:rsidP="00033BCF">
      <w:pPr>
        <w:rPr>
          <w:lang w:val="en-GB"/>
        </w:rPr>
      </w:pPr>
      <w:r w:rsidRPr="00F171C8">
        <w:rPr>
          <w:lang w:val="en-GB"/>
        </w:rPr>
        <w:t>Another element to consider is the extent to which it would be resource-intensive to obtain the information in question. If the information is difficult to acquire, it suggests that it has competitive significance.</w:t>
      </w:r>
    </w:p>
    <w:p w14:paraId="23366D4C" w14:textId="7CE89A67" w:rsidR="00E45534" w:rsidRPr="00F171C8" w:rsidRDefault="00033BCF" w:rsidP="00033BCF">
      <w:pPr>
        <w:rPr>
          <w:lang w:val="en-GB"/>
        </w:rPr>
      </w:pPr>
      <w:r w:rsidRPr="00F171C8">
        <w:rPr>
          <w:lang w:val="en-GB"/>
        </w:rPr>
        <w:t>A third factor is the extent to which the information can be reused in future competitions. If the information is tailored to a specific competition and based on the specific needs specified, it is unlikely that disclosure of this information will have an impact on future competitions. If the competition involves off-the-shelf products or other standard solutions, it is more likely that the information may have competitive significance.</w:t>
      </w:r>
    </w:p>
    <w:p w14:paraId="7A0BBBC5" w14:textId="77777777" w:rsidR="00E45534" w:rsidRPr="00F171C8" w:rsidRDefault="00E45534" w:rsidP="00E45534">
      <w:pPr>
        <w:rPr>
          <w:lang w:val="en-GB"/>
        </w:rPr>
      </w:pPr>
    </w:p>
    <w:p w14:paraId="2F2F797E" w14:textId="5A097E84" w:rsidR="00E45534" w:rsidRPr="00F171C8" w:rsidRDefault="00F542B4" w:rsidP="009F2952">
      <w:pPr>
        <w:pStyle w:val="Overskrift3"/>
        <w:numPr>
          <w:ilvl w:val="2"/>
          <w:numId w:val="9"/>
        </w:numPr>
        <w:rPr>
          <w:lang w:val="en-GB"/>
        </w:rPr>
      </w:pPr>
      <w:r w:rsidRPr="00F171C8">
        <w:rPr>
          <w:lang w:val="en-GB"/>
        </w:rPr>
        <w:t>The Affected Party Will Suffer Loss or Potentially Suffer Loss if the Information Is Disclosed</w:t>
      </w:r>
    </w:p>
    <w:p w14:paraId="56C35C82" w14:textId="77777777" w:rsidR="00F542B4" w:rsidRPr="00F171C8" w:rsidRDefault="00F542B4" w:rsidP="00F542B4">
      <w:pPr>
        <w:rPr>
          <w:lang w:val="en-GB"/>
        </w:rPr>
      </w:pPr>
      <w:r w:rsidRPr="00F171C8">
        <w:rPr>
          <w:lang w:val="en-GB"/>
        </w:rPr>
        <w:t>The third condition is that the party entitled to confidentiality will suffer an economic loss if the information is disclosed. It is not necessary to document that a loss has occurred, but it must be specified and documented to some extent what a potential loss would entail. Furthermore, an assessment must be made regarding the potential harm and the level of risk that such harm might occur.</w:t>
      </w:r>
    </w:p>
    <w:p w14:paraId="06A17B68" w14:textId="408A9D0C" w:rsidR="00E45534" w:rsidRPr="00F171C8" w:rsidRDefault="00F542B4" w:rsidP="00F542B4">
      <w:pPr>
        <w:rPr>
          <w:lang w:val="en-GB"/>
        </w:rPr>
      </w:pPr>
      <w:r w:rsidRPr="00F171C8">
        <w:rPr>
          <w:lang w:val="en-GB"/>
        </w:rPr>
        <w:t>There is no requirement that the recipient of the information can use it. For instance, the press would not be able to benefit from a trade secret, while a competing business would greatly benefit from such access. However, this does not mean that the information can be disclosed. The assessment revolves around what the information can be used for, not who receives it.</w:t>
      </w:r>
    </w:p>
    <w:p w14:paraId="7C07FC00" w14:textId="157AD135" w:rsidR="00E45534" w:rsidRPr="00F171C8" w:rsidRDefault="003D5B70" w:rsidP="009F2952">
      <w:pPr>
        <w:pStyle w:val="Overskrift3"/>
        <w:numPr>
          <w:ilvl w:val="2"/>
          <w:numId w:val="9"/>
        </w:numPr>
        <w:rPr>
          <w:lang w:val="en-GB"/>
        </w:rPr>
      </w:pPr>
      <w:r w:rsidRPr="00F171C8">
        <w:rPr>
          <w:lang w:val="en-GB"/>
        </w:rPr>
        <w:lastRenderedPageBreak/>
        <w:t>Exceptions</w:t>
      </w:r>
    </w:p>
    <w:p w14:paraId="04B0C0F6" w14:textId="77777777" w:rsidR="008924C4" w:rsidRPr="00F171C8" w:rsidRDefault="008924C4" w:rsidP="008924C4">
      <w:pPr>
        <w:rPr>
          <w:lang w:val="en-GB"/>
        </w:rPr>
      </w:pPr>
      <w:r w:rsidRPr="00F171C8">
        <w:rPr>
          <w:lang w:val="en-GB"/>
        </w:rPr>
        <w:t>T</w:t>
      </w:r>
      <w:r w:rsidR="003D5B70" w:rsidRPr="00F171C8">
        <w:rPr>
          <w:lang w:val="en-GB"/>
        </w:rPr>
        <w:t>he Public Access to Information Act</w:t>
      </w:r>
      <w:r w:rsidR="00E45534" w:rsidRPr="00F171C8">
        <w:rPr>
          <w:lang w:val="en-GB"/>
        </w:rPr>
        <w:t xml:space="preserve"> § 23 - </w:t>
      </w:r>
      <w:bookmarkEnd w:id="1"/>
      <w:bookmarkEnd w:id="2"/>
      <w:r w:rsidRPr="00F171C8">
        <w:rPr>
          <w:lang w:val="en-GB"/>
        </w:rPr>
        <w:t>exceptions concerning considerations for the administration's negotiation position, and more.</w:t>
      </w:r>
    </w:p>
    <w:p w14:paraId="0020D197" w14:textId="0BE741B6" w:rsidR="00C34BC8" w:rsidRPr="00F171C8" w:rsidRDefault="008924C4" w:rsidP="008924C4">
      <w:pPr>
        <w:rPr>
          <w:lang w:val="en-GB"/>
        </w:rPr>
      </w:pPr>
      <w:r w:rsidRPr="00F171C8">
        <w:rPr>
          <w:lang w:val="en-GB"/>
        </w:rPr>
        <w:t>The exception in this context is aimed at the Contracting Authority's responsible implementation of financial, salary, and personnel management. The most relevant alternative regarding public procurements is the exception related to financial management. To use this exception, there must be a financial relationship, either through a purchase or sale, with an external party. Additionally, a competitive aspect is a condition. The Contracting Authority may potentially have to incur higher costs or suffer a loss of future gains if the information is disclosed. The necessity of confidentiality may vary over time. The Contracting Authority may consider disclosing the information when it no longer has a negative impact on potential future competitions.</w:t>
      </w:r>
    </w:p>
    <w:p w14:paraId="359E1855" w14:textId="72EEF913" w:rsidR="00C34BC8" w:rsidRPr="00F171C8" w:rsidRDefault="00BF53F3" w:rsidP="00D94FDB">
      <w:pPr>
        <w:pStyle w:val="Overskrift1"/>
        <w:numPr>
          <w:ilvl w:val="0"/>
          <w:numId w:val="10"/>
        </w:numPr>
        <w:rPr>
          <w:lang w:val="en-GB"/>
        </w:rPr>
      </w:pPr>
      <w:r w:rsidRPr="00F171C8">
        <w:rPr>
          <w:lang w:val="en-GB"/>
        </w:rPr>
        <w:t xml:space="preserve">Justification for Redaction of the </w:t>
      </w:r>
      <w:r w:rsidR="00061854">
        <w:rPr>
          <w:lang w:val="en-GB"/>
        </w:rPr>
        <w:t>Tender</w:t>
      </w:r>
    </w:p>
    <w:p w14:paraId="439A77BF" w14:textId="3D56C9EE" w:rsidR="00235D26" w:rsidRPr="00F171C8" w:rsidRDefault="00235D26" w:rsidP="00235D26">
      <w:pPr>
        <w:rPr>
          <w:lang w:val="en-GB"/>
        </w:rPr>
      </w:pPr>
      <w:r w:rsidRPr="00F171C8">
        <w:rPr>
          <w:lang w:val="en-GB"/>
        </w:rPr>
        <w:t xml:space="preserve">The </w:t>
      </w:r>
      <w:r w:rsidR="00061854">
        <w:rPr>
          <w:lang w:val="en-GB"/>
        </w:rPr>
        <w:t>tenderer</w:t>
      </w:r>
      <w:r w:rsidR="00061854" w:rsidRPr="00F171C8">
        <w:rPr>
          <w:lang w:val="en-GB"/>
        </w:rPr>
        <w:t xml:space="preserve"> </w:t>
      </w:r>
      <w:r w:rsidRPr="00F171C8">
        <w:rPr>
          <w:lang w:val="en-GB"/>
        </w:rPr>
        <w:t xml:space="preserve">is asked to provide a version of the </w:t>
      </w:r>
      <w:r w:rsidR="00061854">
        <w:rPr>
          <w:lang w:val="en-GB"/>
        </w:rPr>
        <w:t>tender</w:t>
      </w:r>
      <w:r w:rsidR="00061854" w:rsidRPr="00F171C8">
        <w:rPr>
          <w:lang w:val="en-GB"/>
        </w:rPr>
        <w:t xml:space="preserve"> </w:t>
      </w:r>
      <w:r w:rsidRPr="00F171C8">
        <w:rPr>
          <w:lang w:val="en-GB"/>
        </w:rPr>
        <w:t>with sensitive information removed and complete the table below. In this redacted version, they should clearly state what information has been removed, where it was located, and explain why it should not be made public or is subject to confidentiality.</w:t>
      </w:r>
    </w:p>
    <w:p w14:paraId="4D289AAE" w14:textId="4C1E6A5B" w:rsidR="00F13575" w:rsidRPr="00F171C8" w:rsidRDefault="00235D26" w:rsidP="00235D26">
      <w:pPr>
        <w:rPr>
          <w:lang w:val="en-GB"/>
        </w:rPr>
      </w:pPr>
      <w:r w:rsidRPr="00F171C8">
        <w:rPr>
          <w:lang w:val="en-GB"/>
        </w:rPr>
        <w:t xml:space="preserve">The Contracting Authority wants to emphasize that the information provided by the </w:t>
      </w:r>
      <w:r w:rsidR="00A00DA6">
        <w:rPr>
          <w:lang w:val="en-GB"/>
        </w:rPr>
        <w:t>tenderer</w:t>
      </w:r>
      <w:r w:rsidR="00A00DA6" w:rsidRPr="00F171C8">
        <w:rPr>
          <w:lang w:val="en-GB"/>
        </w:rPr>
        <w:t xml:space="preserve"> </w:t>
      </w:r>
      <w:r w:rsidRPr="00F171C8">
        <w:rPr>
          <w:lang w:val="en-GB"/>
        </w:rPr>
        <w:t xml:space="preserve">is only a guide. It is the Contracting Authority's responsibility to determine whether the public has the right to access this information. If someone requests access to the </w:t>
      </w:r>
      <w:r w:rsidR="00A00DA6">
        <w:rPr>
          <w:lang w:val="en-GB"/>
        </w:rPr>
        <w:t>tender</w:t>
      </w:r>
      <w:r w:rsidR="00A00DA6" w:rsidRPr="00F171C8">
        <w:rPr>
          <w:lang w:val="en-GB"/>
        </w:rPr>
        <w:t xml:space="preserve"> </w:t>
      </w:r>
      <w:r w:rsidRPr="00F171C8">
        <w:rPr>
          <w:lang w:val="en-GB"/>
        </w:rPr>
        <w:t xml:space="preserve">after it's awarded, the </w:t>
      </w:r>
      <w:r w:rsidR="00A00DA6">
        <w:rPr>
          <w:lang w:val="en-GB"/>
        </w:rPr>
        <w:t>Contracting Authority</w:t>
      </w:r>
      <w:r w:rsidR="00A00DA6" w:rsidRPr="00F171C8">
        <w:rPr>
          <w:lang w:val="en-GB"/>
        </w:rPr>
        <w:t xml:space="preserve"> </w:t>
      </w:r>
      <w:r w:rsidRPr="00F171C8">
        <w:rPr>
          <w:lang w:val="en-GB"/>
        </w:rPr>
        <w:t xml:space="preserve">will review the </w:t>
      </w:r>
      <w:r w:rsidR="00A00DA6">
        <w:rPr>
          <w:lang w:val="en-GB"/>
        </w:rPr>
        <w:t>Tenderer’s</w:t>
      </w:r>
      <w:r w:rsidR="00A00DA6" w:rsidRPr="00F171C8">
        <w:rPr>
          <w:lang w:val="en-GB"/>
        </w:rPr>
        <w:t xml:space="preserve"> </w:t>
      </w:r>
      <w:r w:rsidRPr="00F171C8">
        <w:rPr>
          <w:lang w:val="en-GB"/>
        </w:rPr>
        <w:t xml:space="preserve">redacted </w:t>
      </w:r>
      <w:r w:rsidR="00A00DA6">
        <w:rPr>
          <w:lang w:val="en-GB"/>
        </w:rPr>
        <w:t>tender</w:t>
      </w:r>
      <w:r w:rsidR="00A00DA6" w:rsidRPr="00F171C8">
        <w:rPr>
          <w:lang w:val="en-GB"/>
        </w:rPr>
        <w:t xml:space="preserve"> </w:t>
      </w:r>
      <w:r w:rsidRPr="00F171C8">
        <w:rPr>
          <w:lang w:val="en-GB"/>
        </w:rPr>
        <w:t>and the reasons for removing information before granting access.</w:t>
      </w:r>
    </w:p>
    <w:tbl>
      <w:tblPr>
        <w:tblStyle w:val="Listetabell3uthevingsfarge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393"/>
        <w:gridCol w:w="1011"/>
        <w:gridCol w:w="2612"/>
        <w:gridCol w:w="4046"/>
      </w:tblGrid>
      <w:tr w:rsidR="00441E79" w:rsidRPr="004D20E9" w14:paraId="7A8CFEC9" w14:textId="77777777" w:rsidTr="007E6BB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44" w:type="pct"/>
            <w:tcBorders>
              <w:bottom w:val="none" w:sz="0" w:space="0" w:color="auto"/>
              <w:right w:val="none" w:sz="0" w:space="0" w:color="auto"/>
            </w:tcBorders>
          </w:tcPr>
          <w:p w14:paraId="718CA3A2" w14:textId="214745AB" w:rsidR="00441E79" w:rsidRPr="00F171C8" w:rsidRDefault="00721931">
            <w:pPr>
              <w:rPr>
                <w:lang w:val="en-GB"/>
              </w:rPr>
            </w:pPr>
            <w:r w:rsidRPr="00F171C8">
              <w:rPr>
                <w:lang w:val="en-GB"/>
              </w:rPr>
              <w:t>Document</w:t>
            </w:r>
          </w:p>
        </w:tc>
        <w:tc>
          <w:tcPr>
            <w:cnfStyle w:val="000010000000" w:firstRow="0" w:lastRow="0" w:firstColumn="0" w:lastColumn="0" w:oddVBand="1" w:evenVBand="0" w:oddHBand="0" w:evenHBand="0" w:firstRowFirstColumn="0" w:firstRowLastColumn="0" w:lastRowFirstColumn="0" w:lastRowLastColumn="0"/>
            <w:tcW w:w="331" w:type="pct"/>
            <w:tcBorders>
              <w:left w:val="none" w:sz="0" w:space="0" w:color="auto"/>
              <w:right w:val="none" w:sz="0" w:space="0" w:color="auto"/>
            </w:tcBorders>
          </w:tcPr>
          <w:p w14:paraId="3B6E7942" w14:textId="7B4173C1" w:rsidR="00441E79" w:rsidRPr="00F171C8" w:rsidRDefault="008379FF">
            <w:pPr>
              <w:rPr>
                <w:lang w:val="en-GB"/>
              </w:rPr>
            </w:pPr>
            <w:r w:rsidRPr="00F171C8">
              <w:rPr>
                <w:lang w:val="en-GB"/>
              </w:rPr>
              <w:t>Section No.</w:t>
            </w:r>
          </w:p>
        </w:tc>
        <w:tc>
          <w:tcPr>
            <w:tcW w:w="1517" w:type="pct"/>
          </w:tcPr>
          <w:p w14:paraId="182EB91D" w14:textId="055C40DB" w:rsidR="00441E79" w:rsidRPr="00F171C8" w:rsidRDefault="008379FF">
            <w:pPr>
              <w:cnfStyle w:val="100000000000" w:firstRow="1" w:lastRow="0" w:firstColumn="0" w:lastColumn="0" w:oddVBand="0" w:evenVBand="0" w:oddHBand="0" w:evenHBand="0" w:firstRowFirstColumn="0" w:firstRowLastColumn="0" w:lastRowFirstColumn="0" w:lastRowLastColumn="0"/>
              <w:rPr>
                <w:lang w:val="en-GB"/>
              </w:rPr>
            </w:pPr>
            <w:r w:rsidRPr="00F171C8">
              <w:rPr>
                <w:lang w:val="en-GB"/>
              </w:rPr>
              <w:t>Section Name</w:t>
            </w:r>
          </w:p>
        </w:tc>
        <w:tc>
          <w:tcPr>
            <w:cnfStyle w:val="000010000000" w:firstRow="0" w:lastRow="0" w:firstColumn="0" w:lastColumn="0" w:oddVBand="1" w:evenVBand="0" w:oddHBand="0" w:evenHBand="0" w:firstRowFirstColumn="0" w:firstRowLastColumn="0" w:lastRowFirstColumn="0" w:lastRowLastColumn="0"/>
            <w:tcW w:w="2308" w:type="pct"/>
            <w:tcBorders>
              <w:left w:val="none" w:sz="0" w:space="0" w:color="auto"/>
              <w:right w:val="none" w:sz="0" w:space="0" w:color="auto"/>
            </w:tcBorders>
          </w:tcPr>
          <w:p w14:paraId="538042BC" w14:textId="2C539EDF" w:rsidR="00441E79" w:rsidRPr="00F171C8" w:rsidRDefault="00F171C8">
            <w:pPr>
              <w:rPr>
                <w:lang w:val="en-GB"/>
              </w:rPr>
            </w:pPr>
            <w:r w:rsidRPr="00F171C8">
              <w:rPr>
                <w:lang w:val="en-GB"/>
              </w:rPr>
              <w:t>Justification for Redaction of Information</w:t>
            </w:r>
          </w:p>
        </w:tc>
      </w:tr>
      <w:tr w:rsidR="00441E79" w:rsidRPr="004D20E9" w14:paraId="41981517" w14:textId="77777777" w:rsidTr="007E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4" w:type="pct"/>
            <w:tcBorders>
              <w:top w:val="none" w:sz="0" w:space="0" w:color="auto"/>
              <w:bottom w:val="none" w:sz="0" w:space="0" w:color="auto"/>
              <w:right w:val="none" w:sz="0" w:space="0" w:color="auto"/>
            </w:tcBorders>
          </w:tcPr>
          <w:p w14:paraId="0E1752B8" w14:textId="77777777" w:rsidR="00441E79" w:rsidRPr="00F171C8" w:rsidRDefault="00441E79">
            <w:pPr>
              <w:rPr>
                <w:lang w:val="en-GB"/>
              </w:rPr>
            </w:pPr>
          </w:p>
        </w:tc>
        <w:tc>
          <w:tcPr>
            <w:cnfStyle w:val="000010000000" w:firstRow="0" w:lastRow="0" w:firstColumn="0" w:lastColumn="0" w:oddVBand="1" w:evenVBand="0" w:oddHBand="0" w:evenHBand="0" w:firstRowFirstColumn="0" w:firstRowLastColumn="0" w:lastRowFirstColumn="0" w:lastRowLastColumn="0"/>
            <w:tcW w:w="331" w:type="pct"/>
            <w:tcBorders>
              <w:top w:val="none" w:sz="0" w:space="0" w:color="auto"/>
              <w:left w:val="none" w:sz="0" w:space="0" w:color="auto"/>
              <w:bottom w:val="none" w:sz="0" w:space="0" w:color="auto"/>
              <w:right w:val="none" w:sz="0" w:space="0" w:color="auto"/>
            </w:tcBorders>
          </w:tcPr>
          <w:p w14:paraId="2FCD0D53" w14:textId="77777777" w:rsidR="00441E79" w:rsidRPr="00F171C8" w:rsidRDefault="00441E79">
            <w:pPr>
              <w:rPr>
                <w:lang w:val="en-GB"/>
              </w:rPr>
            </w:pPr>
          </w:p>
        </w:tc>
        <w:tc>
          <w:tcPr>
            <w:tcW w:w="1517" w:type="pct"/>
            <w:tcBorders>
              <w:top w:val="none" w:sz="0" w:space="0" w:color="auto"/>
              <w:bottom w:val="none" w:sz="0" w:space="0" w:color="auto"/>
            </w:tcBorders>
          </w:tcPr>
          <w:p w14:paraId="6884F0A2" w14:textId="77777777" w:rsidR="00441E79" w:rsidRPr="00F171C8" w:rsidRDefault="00441E79">
            <w:pPr>
              <w:cnfStyle w:val="000000100000" w:firstRow="0" w:lastRow="0" w:firstColumn="0" w:lastColumn="0" w:oddVBand="0" w:evenVBand="0" w:oddHBand="1" w:evenHBand="0" w:firstRowFirstColumn="0" w:firstRowLastColumn="0" w:lastRowFirstColumn="0" w:lastRowLastColumn="0"/>
              <w:rPr>
                <w:lang w:val="en-GB"/>
              </w:rPr>
            </w:pPr>
          </w:p>
        </w:tc>
        <w:tc>
          <w:tcPr>
            <w:cnfStyle w:val="000010000000" w:firstRow="0" w:lastRow="0" w:firstColumn="0" w:lastColumn="0" w:oddVBand="1" w:evenVBand="0" w:oddHBand="0" w:evenHBand="0" w:firstRowFirstColumn="0" w:firstRowLastColumn="0" w:lastRowFirstColumn="0" w:lastRowLastColumn="0"/>
            <w:tcW w:w="2308" w:type="pct"/>
            <w:tcBorders>
              <w:top w:val="none" w:sz="0" w:space="0" w:color="auto"/>
              <w:left w:val="none" w:sz="0" w:space="0" w:color="auto"/>
              <w:bottom w:val="none" w:sz="0" w:space="0" w:color="auto"/>
              <w:right w:val="none" w:sz="0" w:space="0" w:color="auto"/>
            </w:tcBorders>
          </w:tcPr>
          <w:p w14:paraId="4F105BA1" w14:textId="77777777" w:rsidR="00441E79" w:rsidRPr="00F171C8" w:rsidRDefault="00441E79">
            <w:pPr>
              <w:rPr>
                <w:lang w:val="en-GB"/>
              </w:rPr>
            </w:pPr>
          </w:p>
        </w:tc>
      </w:tr>
      <w:tr w:rsidR="00441E79" w:rsidRPr="004D20E9" w14:paraId="5337C861" w14:textId="77777777" w:rsidTr="007E6BB9">
        <w:tc>
          <w:tcPr>
            <w:cnfStyle w:val="001000000000" w:firstRow="0" w:lastRow="0" w:firstColumn="1" w:lastColumn="0" w:oddVBand="0" w:evenVBand="0" w:oddHBand="0" w:evenHBand="0" w:firstRowFirstColumn="0" w:firstRowLastColumn="0" w:lastRowFirstColumn="0" w:lastRowLastColumn="0"/>
            <w:tcW w:w="844" w:type="pct"/>
            <w:tcBorders>
              <w:right w:val="none" w:sz="0" w:space="0" w:color="auto"/>
            </w:tcBorders>
          </w:tcPr>
          <w:p w14:paraId="026DF8E3" w14:textId="77777777" w:rsidR="00441E79" w:rsidRPr="00F171C8" w:rsidRDefault="00441E79">
            <w:pPr>
              <w:rPr>
                <w:lang w:val="en-GB"/>
              </w:rPr>
            </w:pPr>
          </w:p>
        </w:tc>
        <w:tc>
          <w:tcPr>
            <w:cnfStyle w:val="000010000000" w:firstRow="0" w:lastRow="0" w:firstColumn="0" w:lastColumn="0" w:oddVBand="1" w:evenVBand="0" w:oddHBand="0" w:evenHBand="0" w:firstRowFirstColumn="0" w:firstRowLastColumn="0" w:lastRowFirstColumn="0" w:lastRowLastColumn="0"/>
            <w:tcW w:w="331" w:type="pct"/>
            <w:tcBorders>
              <w:left w:val="none" w:sz="0" w:space="0" w:color="auto"/>
              <w:right w:val="none" w:sz="0" w:space="0" w:color="auto"/>
            </w:tcBorders>
          </w:tcPr>
          <w:p w14:paraId="4FF1D4A9" w14:textId="77777777" w:rsidR="00441E79" w:rsidRPr="00F171C8" w:rsidRDefault="00441E79">
            <w:pPr>
              <w:rPr>
                <w:lang w:val="en-GB"/>
              </w:rPr>
            </w:pPr>
          </w:p>
        </w:tc>
        <w:tc>
          <w:tcPr>
            <w:tcW w:w="1517" w:type="pct"/>
          </w:tcPr>
          <w:p w14:paraId="0B783A15" w14:textId="77777777" w:rsidR="00441E79" w:rsidRPr="00F171C8" w:rsidRDefault="00441E79">
            <w:pPr>
              <w:cnfStyle w:val="000000000000" w:firstRow="0" w:lastRow="0" w:firstColumn="0" w:lastColumn="0" w:oddVBand="0" w:evenVBand="0" w:oddHBand="0" w:evenHBand="0" w:firstRowFirstColumn="0" w:firstRowLastColumn="0" w:lastRowFirstColumn="0" w:lastRowLastColumn="0"/>
              <w:rPr>
                <w:lang w:val="en-GB"/>
              </w:rPr>
            </w:pPr>
          </w:p>
        </w:tc>
        <w:tc>
          <w:tcPr>
            <w:cnfStyle w:val="000010000000" w:firstRow="0" w:lastRow="0" w:firstColumn="0" w:lastColumn="0" w:oddVBand="1" w:evenVBand="0" w:oddHBand="0" w:evenHBand="0" w:firstRowFirstColumn="0" w:firstRowLastColumn="0" w:lastRowFirstColumn="0" w:lastRowLastColumn="0"/>
            <w:tcW w:w="2308" w:type="pct"/>
            <w:tcBorders>
              <w:left w:val="none" w:sz="0" w:space="0" w:color="auto"/>
              <w:right w:val="none" w:sz="0" w:space="0" w:color="auto"/>
            </w:tcBorders>
          </w:tcPr>
          <w:p w14:paraId="1E58E437" w14:textId="77777777" w:rsidR="00441E79" w:rsidRPr="00F171C8" w:rsidRDefault="00441E79">
            <w:pPr>
              <w:rPr>
                <w:lang w:val="en-GB"/>
              </w:rPr>
            </w:pPr>
          </w:p>
        </w:tc>
      </w:tr>
      <w:tr w:rsidR="00441E79" w:rsidRPr="004D20E9" w14:paraId="4F19DFAC" w14:textId="77777777" w:rsidTr="007E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4" w:type="pct"/>
            <w:tcBorders>
              <w:top w:val="none" w:sz="0" w:space="0" w:color="auto"/>
              <w:bottom w:val="none" w:sz="0" w:space="0" w:color="auto"/>
              <w:right w:val="none" w:sz="0" w:space="0" w:color="auto"/>
            </w:tcBorders>
          </w:tcPr>
          <w:p w14:paraId="1E0F0622" w14:textId="77777777" w:rsidR="00441E79" w:rsidRPr="00F171C8" w:rsidRDefault="00441E79">
            <w:pPr>
              <w:rPr>
                <w:lang w:val="en-GB"/>
              </w:rPr>
            </w:pPr>
          </w:p>
        </w:tc>
        <w:tc>
          <w:tcPr>
            <w:cnfStyle w:val="000010000000" w:firstRow="0" w:lastRow="0" w:firstColumn="0" w:lastColumn="0" w:oddVBand="1" w:evenVBand="0" w:oddHBand="0" w:evenHBand="0" w:firstRowFirstColumn="0" w:firstRowLastColumn="0" w:lastRowFirstColumn="0" w:lastRowLastColumn="0"/>
            <w:tcW w:w="331" w:type="pct"/>
            <w:tcBorders>
              <w:top w:val="none" w:sz="0" w:space="0" w:color="auto"/>
              <w:left w:val="none" w:sz="0" w:space="0" w:color="auto"/>
              <w:bottom w:val="none" w:sz="0" w:space="0" w:color="auto"/>
              <w:right w:val="none" w:sz="0" w:space="0" w:color="auto"/>
            </w:tcBorders>
          </w:tcPr>
          <w:p w14:paraId="416B1879" w14:textId="77777777" w:rsidR="00441E79" w:rsidRPr="00F171C8" w:rsidRDefault="00441E79">
            <w:pPr>
              <w:rPr>
                <w:lang w:val="en-GB"/>
              </w:rPr>
            </w:pPr>
          </w:p>
        </w:tc>
        <w:tc>
          <w:tcPr>
            <w:tcW w:w="1517" w:type="pct"/>
            <w:tcBorders>
              <w:top w:val="none" w:sz="0" w:space="0" w:color="auto"/>
              <w:bottom w:val="none" w:sz="0" w:space="0" w:color="auto"/>
            </w:tcBorders>
          </w:tcPr>
          <w:p w14:paraId="4496B6CB" w14:textId="77777777" w:rsidR="00441E79" w:rsidRPr="00F171C8" w:rsidRDefault="00441E79">
            <w:pPr>
              <w:cnfStyle w:val="000000100000" w:firstRow="0" w:lastRow="0" w:firstColumn="0" w:lastColumn="0" w:oddVBand="0" w:evenVBand="0" w:oddHBand="1" w:evenHBand="0" w:firstRowFirstColumn="0" w:firstRowLastColumn="0" w:lastRowFirstColumn="0" w:lastRowLastColumn="0"/>
              <w:rPr>
                <w:lang w:val="en-GB"/>
              </w:rPr>
            </w:pPr>
          </w:p>
        </w:tc>
        <w:tc>
          <w:tcPr>
            <w:cnfStyle w:val="000010000000" w:firstRow="0" w:lastRow="0" w:firstColumn="0" w:lastColumn="0" w:oddVBand="1" w:evenVBand="0" w:oddHBand="0" w:evenHBand="0" w:firstRowFirstColumn="0" w:firstRowLastColumn="0" w:lastRowFirstColumn="0" w:lastRowLastColumn="0"/>
            <w:tcW w:w="2308" w:type="pct"/>
            <w:tcBorders>
              <w:top w:val="none" w:sz="0" w:space="0" w:color="auto"/>
              <w:left w:val="none" w:sz="0" w:space="0" w:color="auto"/>
              <w:bottom w:val="none" w:sz="0" w:space="0" w:color="auto"/>
              <w:right w:val="none" w:sz="0" w:space="0" w:color="auto"/>
            </w:tcBorders>
          </w:tcPr>
          <w:p w14:paraId="64EF659B" w14:textId="77777777" w:rsidR="00441E79" w:rsidRPr="00F171C8" w:rsidRDefault="00441E79">
            <w:pPr>
              <w:rPr>
                <w:lang w:val="en-GB"/>
              </w:rPr>
            </w:pPr>
          </w:p>
        </w:tc>
      </w:tr>
    </w:tbl>
    <w:p w14:paraId="683B2096" w14:textId="77777777" w:rsidR="00441E79" w:rsidRPr="00F171C8" w:rsidRDefault="00441E79">
      <w:pPr>
        <w:rPr>
          <w:lang w:val="en-GB"/>
        </w:rPr>
      </w:pPr>
    </w:p>
    <w:sectPr w:rsidR="00441E79" w:rsidRPr="00F171C8" w:rsidSect="00D97807">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BD77" w14:textId="77777777" w:rsidR="00F340E5" w:rsidRDefault="00F340E5" w:rsidP="003E4327">
      <w:pPr>
        <w:spacing w:after="0" w:line="240" w:lineRule="auto"/>
      </w:pPr>
      <w:r>
        <w:separator/>
      </w:r>
    </w:p>
  </w:endnote>
  <w:endnote w:type="continuationSeparator" w:id="0">
    <w:p w14:paraId="09B8D013" w14:textId="77777777" w:rsidR="00F340E5" w:rsidRDefault="00F340E5" w:rsidP="003E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5564489"/>
      <w:docPartObj>
        <w:docPartGallery w:val="Page Numbers (Bottom of Page)"/>
        <w:docPartUnique/>
      </w:docPartObj>
    </w:sdtPr>
    <w:sdtEndPr/>
    <w:sdtContent>
      <w:p w14:paraId="07D39CAF" w14:textId="77777777" w:rsidR="009532E2" w:rsidRDefault="009532E2" w:rsidP="009532E2">
        <w:pPr>
          <w:pStyle w:val="Bunntekst"/>
          <w:rPr>
            <w:rFonts w:ascii="Arial" w:hAnsi="Arial" w:cs="Arial"/>
          </w:rPr>
        </w:pPr>
      </w:p>
      <w:p w14:paraId="5C2E874A" w14:textId="77777777" w:rsidR="009532E2" w:rsidRDefault="009532E2" w:rsidP="009532E2">
        <w:pPr>
          <w:pStyle w:val="Bunntekst"/>
          <w:pBdr>
            <w:top w:val="single" w:sz="8" w:space="1" w:color="012A4C" w:themeColor="text2"/>
          </w:pBdr>
          <w:rPr>
            <w:rFonts w:ascii="Arial" w:hAnsi="Arial" w:cs="Arial"/>
          </w:rPr>
        </w:pPr>
      </w:p>
      <w:p w14:paraId="0009180D" w14:textId="42D9B30C" w:rsidR="009532E2" w:rsidRPr="00330B4E" w:rsidRDefault="004D20E9" w:rsidP="009532E2">
        <w:pPr>
          <w:pStyle w:val="Bunntekst"/>
          <w:tabs>
            <w:tab w:val="clear" w:pos="4536"/>
            <w:tab w:val="center" w:pos="5103"/>
            <w:tab w:val="left" w:pos="5685"/>
          </w:tabs>
          <w:rPr>
            <w:rFonts w:ascii="Arial" w:hAnsi="Arial" w:cs="Arial"/>
            <w:color w:val="012A4C" w:themeColor="text2"/>
            <w:lang w:val="en-GB"/>
          </w:rPr>
        </w:pPr>
        <w:r w:rsidRPr="009D319B">
          <w:rPr>
            <w:rFonts w:ascii="Arial" w:hAnsi="Arial" w:cs="Arial"/>
            <w:b/>
            <w:color w:val="012A4C" w:themeColor="text2"/>
            <w:sz w:val="20"/>
            <w:szCs w:val="20"/>
          </w:rPr>
          <w:t>2</w:t>
        </w:r>
        <w:r>
          <w:rPr>
            <w:rFonts w:ascii="Arial" w:hAnsi="Arial" w:cs="Arial"/>
            <w:b/>
            <w:color w:val="012A4C" w:themeColor="text2"/>
            <w:sz w:val="20"/>
            <w:szCs w:val="20"/>
          </w:rPr>
          <w:t>6</w:t>
        </w:r>
        <w:r w:rsidRPr="009D319B">
          <w:rPr>
            <w:rFonts w:ascii="Arial" w:hAnsi="Arial" w:cs="Arial"/>
            <w:b/>
            <w:color w:val="012A4C" w:themeColor="text2"/>
            <w:sz w:val="20"/>
            <w:szCs w:val="20"/>
          </w:rPr>
          <w:t>/</w:t>
        </w:r>
        <w:r>
          <w:rPr>
            <w:rFonts w:ascii="Arial" w:hAnsi="Arial" w:cs="Arial"/>
            <w:b/>
            <w:color w:val="012A4C" w:themeColor="text2"/>
            <w:sz w:val="20"/>
            <w:szCs w:val="20"/>
          </w:rPr>
          <w:t>398</w:t>
        </w:r>
        <w:r w:rsidRPr="007A0C1D">
          <w:rPr>
            <w:rFonts w:ascii="Arial" w:hAnsi="Arial" w:cs="Arial"/>
            <w:color w:val="012A4C" w:themeColor="text2"/>
            <w:sz w:val="20"/>
            <w:szCs w:val="20"/>
          </w:rPr>
          <w:t xml:space="preserve"> </w:t>
        </w:r>
        <w:r w:rsidR="009532E2" w:rsidRPr="007A0C1D">
          <w:rPr>
            <w:rFonts w:ascii="Arial" w:hAnsi="Arial" w:cs="Arial"/>
            <w:color w:val="012A4C" w:themeColor="text2"/>
            <w:sz w:val="20"/>
            <w:szCs w:val="20"/>
            <w:lang w:val="en-GB"/>
          </w:rPr>
          <w:t xml:space="preserve">| </w:t>
        </w:r>
        <w:r w:rsidR="009532E2">
          <w:rPr>
            <w:rFonts w:ascii="Arial" w:hAnsi="Arial" w:cs="Arial"/>
            <w:color w:val="012A4C" w:themeColor="text2"/>
            <w:sz w:val="20"/>
            <w:szCs w:val="20"/>
            <w:lang w:val="en-GB"/>
          </w:rPr>
          <w:t>A</w:t>
        </w:r>
        <w:r w:rsidR="009532E2" w:rsidRPr="009532E2">
          <w:rPr>
            <w:rFonts w:ascii="Arial" w:hAnsi="Arial" w:cs="Arial"/>
            <w:color w:val="012A4C" w:themeColor="text2"/>
            <w:sz w:val="20"/>
            <w:szCs w:val="20"/>
            <w:lang w:val="en-GB"/>
          </w:rPr>
          <w:t>ttachment</w:t>
        </w:r>
        <w:r w:rsidR="009532E2">
          <w:rPr>
            <w:rFonts w:ascii="Arial" w:hAnsi="Arial" w:cs="Arial"/>
            <w:color w:val="012A4C" w:themeColor="text2"/>
            <w:sz w:val="20"/>
            <w:szCs w:val="20"/>
            <w:lang w:val="en-GB"/>
          </w:rPr>
          <w:t xml:space="preserve"> </w:t>
        </w:r>
        <w:r w:rsidR="00827A5B">
          <w:rPr>
            <w:rFonts w:ascii="Arial" w:hAnsi="Arial" w:cs="Arial"/>
            <w:color w:val="012A4C" w:themeColor="text2"/>
            <w:sz w:val="20"/>
            <w:szCs w:val="20"/>
            <w:lang w:val="en-GB"/>
          </w:rPr>
          <w:t>3</w:t>
        </w:r>
        <w:r w:rsidR="009532E2" w:rsidRPr="007A0C1D">
          <w:rPr>
            <w:rFonts w:ascii="Arial" w:hAnsi="Arial" w:cs="Arial"/>
            <w:color w:val="012A4C" w:themeColor="text2"/>
            <w:lang w:val="en-GB"/>
          </w:rPr>
          <w:tab/>
        </w:r>
        <w:r w:rsidR="009532E2" w:rsidRPr="007A0C1D">
          <w:rPr>
            <w:rFonts w:ascii="Arial" w:hAnsi="Arial" w:cs="Arial"/>
            <w:color w:val="012A4C" w:themeColor="text2"/>
            <w:lang w:val="en-GB"/>
          </w:rPr>
          <w:tab/>
        </w:r>
        <w:r w:rsidR="009532E2">
          <w:rPr>
            <w:rFonts w:ascii="Arial" w:hAnsi="Arial" w:cs="Arial"/>
            <w:color w:val="012A4C" w:themeColor="text2"/>
            <w:lang w:val="en-GB"/>
          </w:rPr>
          <w:tab/>
        </w:r>
        <w:sdt>
          <w:sdtPr>
            <w:rPr>
              <w:rFonts w:ascii="Arial" w:hAnsi="Arial" w:cs="Arial"/>
            </w:rPr>
            <w:id w:val="-1769616900"/>
            <w:docPartObj>
              <w:docPartGallery w:val="Page Numbers (Top of Page)"/>
              <w:docPartUnique/>
            </w:docPartObj>
          </w:sdtPr>
          <w:sdtEndPr/>
          <w:sdtContent>
            <w:r w:rsidR="009532E2" w:rsidRPr="007A0C1D">
              <w:rPr>
                <w:rFonts w:ascii="Arial" w:hAnsi="Arial" w:cs="Arial"/>
                <w:color w:val="012A4C" w:themeColor="text2"/>
                <w:lang w:val="en-GB"/>
              </w:rPr>
              <w:t xml:space="preserve">Page </w:t>
            </w:r>
            <w:r w:rsidR="009532E2" w:rsidRPr="002D1AEC">
              <w:rPr>
                <w:rFonts w:ascii="Arial" w:hAnsi="Arial" w:cs="Arial"/>
                <w:b/>
                <w:bCs/>
                <w:color w:val="012A4C" w:themeColor="text2"/>
                <w:sz w:val="24"/>
                <w:szCs w:val="24"/>
              </w:rPr>
              <w:fldChar w:fldCharType="begin"/>
            </w:r>
            <w:r w:rsidR="009532E2" w:rsidRPr="007A0C1D">
              <w:rPr>
                <w:rFonts w:ascii="Arial" w:hAnsi="Arial" w:cs="Arial"/>
                <w:b/>
                <w:bCs/>
                <w:color w:val="012A4C" w:themeColor="text2"/>
                <w:lang w:val="en-GB"/>
              </w:rPr>
              <w:instrText>PAGE</w:instrText>
            </w:r>
            <w:r w:rsidR="009532E2" w:rsidRPr="002D1AEC">
              <w:rPr>
                <w:rFonts w:ascii="Arial" w:hAnsi="Arial" w:cs="Arial"/>
                <w:b/>
                <w:bCs/>
                <w:color w:val="012A4C" w:themeColor="text2"/>
                <w:sz w:val="24"/>
                <w:szCs w:val="24"/>
              </w:rPr>
              <w:fldChar w:fldCharType="separate"/>
            </w:r>
            <w:r w:rsidR="009532E2" w:rsidRPr="009532E2">
              <w:rPr>
                <w:rFonts w:ascii="Arial" w:hAnsi="Arial" w:cs="Arial"/>
                <w:b/>
                <w:bCs/>
                <w:color w:val="012A4C" w:themeColor="text2"/>
                <w:sz w:val="24"/>
                <w:szCs w:val="24"/>
                <w:lang w:val="en-GB"/>
              </w:rPr>
              <w:t>1</w:t>
            </w:r>
            <w:r w:rsidR="009532E2" w:rsidRPr="002D1AEC">
              <w:rPr>
                <w:rFonts w:ascii="Arial" w:hAnsi="Arial" w:cs="Arial"/>
                <w:b/>
                <w:bCs/>
                <w:color w:val="012A4C" w:themeColor="text2"/>
                <w:sz w:val="24"/>
                <w:szCs w:val="24"/>
              </w:rPr>
              <w:fldChar w:fldCharType="end"/>
            </w:r>
            <w:r w:rsidR="009532E2" w:rsidRPr="007A0C1D">
              <w:rPr>
                <w:rFonts w:ascii="Arial" w:hAnsi="Arial" w:cs="Arial"/>
                <w:color w:val="012A4C" w:themeColor="text2"/>
                <w:lang w:val="en-GB"/>
              </w:rPr>
              <w:t xml:space="preserve"> of </w:t>
            </w:r>
            <w:r w:rsidR="009532E2" w:rsidRPr="002D1AEC">
              <w:rPr>
                <w:rFonts w:ascii="Arial" w:hAnsi="Arial" w:cs="Arial"/>
                <w:b/>
                <w:bCs/>
                <w:color w:val="012A4C" w:themeColor="text2"/>
                <w:sz w:val="24"/>
                <w:szCs w:val="24"/>
              </w:rPr>
              <w:fldChar w:fldCharType="begin"/>
            </w:r>
            <w:r w:rsidR="009532E2" w:rsidRPr="007A0C1D">
              <w:rPr>
                <w:rFonts w:ascii="Arial" w:hAnsi="Arial" w:cs="Arial"/>
                <w:b/>
                <w:bCs/>
                <w:color w:val="012A4C" w:themeColor="text2"/>
                <w:lang w:val="en-GB"/>
              </w:rPr>
              <w:instrText>NUMPAGES</w:instrText>
            </w:r>
            <w:r w:rsidR="009532E2" w:rsidRPr="002D1AEC">
              <w:rPr>
                <w:rFonts w:ascii="Arial" w:hAnsi="Arial" w:cs="Arial"/>
                <w:b/>
                <w:bCs/>
                <w:color w:val="012A4C" w:themeColor="text2"/>
                <w:sz w:val="24"/>
                <w:szCs w:val="24"/>
              </w:rPr>
              <w:fldChar w:fldCharType="separate"/>
            </w:r>
            <w:r w:rsidR="009532E2" w:rsidRPr="009532E2">
              <w:rPr>
                <w:rFonts w:ascii="Arial" w:hAnsi="Arial" w:cs="Arial"/>
                <w:b/>
                <w:bCs/>
                <w:color w:val="012A4C" w:themeColor="text2"/>
                <w:sz w:val="24"/>
                <w:szCs w:val="24"/>
                <w:lang w:val="en-GB"/>
              </w:rPr>
              <w:t>2</w:t>
            </w:r>
            <w:r w:rsidR="009532E2" w:rsidRPr="002D1AEC">
              <w:rPr>
                <w:rFonts w:ascii="Arial" w:hAnsi="Arial" w:cs="Arial"/>
                <w:b/>
                <w:bCs/>
                <w:color w:val="012A4C" w:themeColor="text2"/>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D143" w14:textId="77777777" w:rsidR="00F340E5" w:rsidRDefault="00F340E5" w:rsidP="003E4327">
      <w:pPr>
        <w:spacing w:after="0" w:line="240" w:lineRule="auto"/>
      </w:pPr>
      <w:r>
        <w:separator/>
      </w:r>
    </w:p>
  </w:footnote>
  <w:footnote w:type="continuationSeparator" w:id="0">
    <w:p w14:paraId="41B73BC1" w14:textId="77777777" w:rsidR="00F340E5" w:rsidRDefault="00F340E5" w:rsidP="003E4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E31C" w14:textId="77777777" w:rsidR="00E612A2" w:rsidRPr="007214BE" w:rsidRDefault="00E612A2" w:rsidP="00E612A2">
    <w:pPr>
      <w:pStyle w:val="Bunntekst"/>
      <w:rPr>
        <w:rFonts w:ascii="Arial" w:hAnsi="Arial" w:cs="Arial"/>
        <w:color w:val="012A4C" w:themeColor="text2"/>
        <w:sz w:val="20"/>
        <w:szCs w:val="20"/>
        <w:lang w:val="en-GB"/>
      </w:rPr>
    </w:pPr>
    <w:r w:rsidRPr="007214BE">
      <w:rPr>
        <w:rFonts w:ascii="Arial" w:hAnsi="Arial" w:cs="Arial"/>
        <w:b/>
        <w:bCs/>
        <w:noProof/>
        <w:color w:val="012A4C" w:themeColor="text2"/>
        <w:sz w:val="20"/>
        <w:szCs w:val="20"/>
        <w:lang w:val="en-GB"/>
      </w:rPr>
      <w:drawing>
        <wp:anchor distT="0" distB="0" distL="114300" distR="114300" simplePos="0" relativeHeight="251659264" behindDoc="0" locked="0" layoutInCell="1" allowOverlap="1" wp14:anchorId="4BBB5ADF" wp14:editId="6D9A042F">
          <wp:simplePos x="0" y="0"/>
          <wp:positionH relativeFrom="margin">
            <wp:align>right</wp:align>
          </wp:positionH>
          <wp:positionV relativeFrom="margin">
            <wp:posOffset>-574158</wp:posOffset>
          </wp:positionV>
          <wp:extent cx="601980" cy="359410"/>
          <wp:effectExtent l="0" t="0" r="7620" b="2540"/>
          <wp:wrapSquare wrapText="bothSides"/>
          <wp:docPr id="32649368" name="Bilde 32649368" descr="Direktoratet for forvaltning og økonomistyring (DFØ), profil og ledige  stillinger | FINN jo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ktoratet for forvaltning og økonomistyring (DFØ), profil og ledige  stillinger | FINN jobb"/>
                  <pic:cNvPicPr>
                    <a:picLocks noChangeAspect="1" noChangeArrowheads="1"/>
                  </pic:cNvPicPr>
                </pic:nvPicPr>
                <pic:blipFill rotWithShape="1">
                  <a:blip r:embed="rId1">
                    <a:extLst>
                      <a:ext uri="{28A0092B-C50C-407E-A947-70E740481C1C}">
                        <a14:useLocalDpi xmlns:a14="http://schemas.microsoft.com/office/drawing/2010/main" val="0"/>
                      </a:ext>
                    </a:extLst>
                  </a:blip>
                  <a:srcRect t="-10001" r="49246" b="1"/>
                  <a:stretch/>
                </pic:blipFill>
                <pic:spPr bwMode="auto">
                  <a:xfrm>
                    <a:off x="0" y="0"/>
                    <a:ext cx="601980" cy="359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14BE">
      <w:rPr>
        <w:rFonts w:ascii="Arial" w:hAnsi="Arial" w:cs="Arial"/>
        <w:b/>
        <w:bCs/>
        <w:color w:val="012A4C" w:themeColor="text2"/>
        <w:sz w:val="20"/>
        <w:szCs w:val="20"/>
        <w:lang w:val="en-GB"/>
      </w:rPr>
      <w:t>#mps</w:t>
    </w:r>
    <w:r w:rsidRPr="007214BE">
      <w:rPr>
        <w:rFonts w:ascii="Arial" w:hAnsi="Arial" w:cs="Arial"/>
        <w:color w:val="012A4C" w:themeColor="text2"/>
        <w:sz w:val="20"/>
        <w:szCs w:val="20"/>
        <w:lang w:val="en-GB"/>
      </w:rPr>
      <w:t xml:space="preserve"> | </w:t>
    </w:r>
    <w:r w:rsidRPr="00E612A2">
      <w:rPr>
        <w:rFonts w:ascii="Arial" w:hAnsi="Arial" w:cs="Arial"/>
        <w:color w:val="012A4C" w:themeColor="text2"/>
        <w:sz w:val="20"/>
        <w:szCs w:val="20"/>
        <w:lang w:val="en-GB"/>
      </w:rPr>
      <w:t>information security and data protection consultancy services</w:t>
    </w:r>
  </w:p>
  <w:p w14:paraId="5E637453" w14:textId="77777777" w:rsidR="00E612A2" w:rsidRPr="007214BE" w:rsidRDefault="00E612A2" w:rsidP="00E612A2">
    <w:pPr>
      <w:pStyle w:val="Topptekst"/>
      <w:pBdr>
        <w:bottom w:val="single" w:sz="8" w:space="1" w:color="012A4C" w:themeColor="text2"/>
      </w:pBdr>
      <w:rPr>
        <w:rFonts w:ascii="Arial" w:hAnsi="Arial" w:cs="Arial"/>
        <w:lang w:val="en-GB"/>
      </w:rPr>
    </w:pPr>
  </w:p>
  <w:p w14:paraId="3DA3F470" w14:textId="77777777" w:rsidR="00D36D5B" w:rsidRPr="00E612A2" w:rsidRDefault="00D36D5B" w:rsidP="00E612A2">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13598"/>
    <w:multiLevelType w:val="hybridMultilevel"/>
    <w:tmpl w:val="32C4EEEA"/>
    <w:lvl w:ilvl="0" w:tplc="255A615A">
      <w:start w:val="1"/>
      <w:numFmt w:val="decimal"/>
      <w:lvlText w:val="%1."/>
      <w:lvlJc w:val="left"/>
      <w:pPr>
        <w:ind w:left="720" w:hanging="360"/>
      </w:pPr>
      <w:rPr>
        <w:rFonts w:eastAsiaTheme="majorEastAsia" w:cstheme="minorHAnsi" w:hint="default"/>
        <w:b/>
        <w:color w:val="001F38" w:themeColor="accent1" w:themeShade="BF"/>
        <w:sz w:val="28"/>
        <w:szCs w:val="28"/>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5A442391"/>
    <w:multiLevelType w:val="multilevel"/>
    <w:tmpl w:val="241CBD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2D72127"/>
    <w:multiLevelType w:val="multilevel"/>
    <w:tmpl w:val="066844A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440" w:hanging="1080"/>
      </w:pPr>
      <w:rPr>
        <w:rFonts w:hint="default"/>
        <w:sz w:val="26"/>
      </w:rPr>
    </w:lvl>
    <w:lvl w:ilvl="4">
      <w:start w:val="1"/>
      <w:numFmt w:val="decimal"/>
      <w:isLgl/>
      <w:lvlText w:val="%1.%2.%3.%4.%5."/>
      <w:lvlJc w:val="left"/>
      <w:pPr>
        <w:ind w:left="1800" w:hanging="1440"/>
      </w:pPr>
      <w:rPr>
        <w:rFonts w:hint="default"/>
        <w:sz w:val="26"/>
      </w:rPr>
    </w:lvl>
    <w:lvl w:ilvl="5">
      <w:start w:val="1"/>
      <w:numFmt w:val="decimal"/>
      <w:isLgl/>
      <w:lvlText w:val="%1.%2.%3.%4.%5.%6."/>
      <w:lvlJc w:val="left"/>
      <w:pPr>
        <w:ind w:left="1800" w:hanging="1440"/>
      </w:pPr>
      <w:rPr>
        <w:rFonts w:hint="default"/>
        <w:sz w:val="26"/>
      </w:rPr>
    </w:lvl>
    <w:lvl w:ilvl="6">
      <w:start w:val="1"/>
      <w:numFmt w:val="decimal"/>
      <w:isLgl/>
      <w:lvlText w:val="%1.%2.%3.%4.%5.%6.%7."/>
      <w:lvlJc w:val="left"/>
      <w:pPr>
        <w:ind w:left="2160" w:hanging="1800"/>
      </w:pPr>
      <w:rPr>
        <w:rFonts w:hint="default"/>
        <w:sz w:val="26"/>
      </w:rPr>
    </w:lvl>
    <w:lvl w:ilvl="7">
      <w:start w:val="1"/>
      <w:numFmt w:val="decimal"/>
      <w:isLgl/>
      <w:lvlText w:val="%1.%2.%3.%4.%5.%6.%7.%8."/>
      <w:lvlJc w:val="left"/>
      <w:pPr>
        <w:ind w:left="2520" w:hanging="2160"/>
      </w:pPr>
      <w:rPr>
        <w:rFonts w:hint="default"/>
        <w:sz w:val="26"/>
      </w:rPr>
    </w:lvl>
    <w:lvl w:ilvl="8">
      <w:start w:val="1"/>
      <w:numFmt w:val="decimal"/>
      <w:isLgl/>
      <w:lvlText w:val="%1.%2.%3.%4.%5.%6.%7.%8.%9."/>
      <w:lvlJc w:val="left"/>
      <w:pPr>
        <w:ind w:left="2520" w:hanging="2160"/>
      </w:pPr>
      <w:rPr>
        <w:rFonts w:hint="default"/>
        <w:sz w:val="26"/>
      </w:rPr>
    </w:lvl>
  </w:abstractNum>
  <w:abstractNum w:abstractNumId="3" w15:restartNumberingAfterBreak="0">
    <w:nsid w:val="64CF18AB"/>
    <w:multiLevelType w:val="hybridMultilevel"/>
    <w:tmpl w:val="10886D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4F97565"/>
    <w:multiLevelType w:val="multilevel"/>
    <w:tmpl w:val="D1D2FA26"/>
    <w:lvl w:ilvl="0">
      <w:start w:val="1"/>
      <w:numFmt w:val="decimal"/>
      <w:lvlText w:val="%1."/>
      <w:lvlJc w:val="left"/>
      <w:pPr>
        <w:ind w:left="420" w:hanging="420"/>
      </w:pPr>
      <w:rPr>
        <w:rFonts w:hint="default"/>
        <w:sz w:val="26"/>
      </w:rPr>
    </w:lvl>
    <w:lvl w:ilvl="1">
      <w:start w:val="1"/>
      <w:numFmt w:val="decimal"/>
      <w:lvlText w:val="%1.%2."/>
      <w:lvlJc w:val="left"/>
      <w:pPr>
        <w:ind w:left="720" w:hanging="72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1080" w:hanging="1080"/>
      </w:pPr>
      <w:rPr>
        <w:rFonts w:hint="default"/>
        <w:sz w:val="26"/>
      </w:rPr>
    </w:lvl>
    <w:lvl w:ilvl="4">
      <w:start w:val="1"/>
      <w:numFmt w:val="decimal"/>
      <w:lvlText w:val="%1.%2.%3.%4.%5."/>
      <w:lvlJc w:val="left"/>
      <w:pPr>
        <w:ind w:left="1440" w:hanging="144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800" w:hanging="1800"/>
      </w:pPr>
      <w:rPr>
        <w:rFonts w:hint="default"/>
        <w:sz w:val="26"/>
      </w:rPr>
    </w:lvl>
    <w:lvl w:ilvl="7">
      <w:start w:val="1"/>
      <w:numFmt w:val="decimal"/>
      <w:lvlText w:val="%1.%2.%3.%4.%5.%6.%7.%8."/>
      <w:lvlJc w:val="left"/>
      <w:pPr>
        <w:ind w:left="2160" w:hanging="2160"/>
      </w:pPr>
      <w:rPr>
        <w:rFonts w:hint="default"/>
        <w:sz w:val="26"/>
      </w:rPr>
    </w:lvl>
    <w:lvl w:ilvl="8">
      <w:start w:val="1"/>
      <w:numFmt w:val="decimal"/>
      <w:lvlText w:val="%1.%2.%3.%4.%5.%6.%7.%8.%9."/>
      <w:lvlJc w:val="left"/>
      <w:pPr>
        <w:ind w:left="2160" w:hanging="2160"/>
      </w:pPr>
      <w:rPr>
        <w:rFonts w:hint="default"/>
        <w:sz w:val="26"/>
      </w:rPr>
    </w:lvl>
  </w:abstractNum>
  <w:abstractNum w:abstractNumId="5" w15:restartNumberingAfterBreak="0">
    <w:nsid w:val="6770788C"/>
    <w:multiLevelType w:val="hybridMultilevel"/>
    <w:tmpl w:val="A7840F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ACB4923"/>
    <w:multiLevelType w:val="hybridMultilevel"/>
    <w:tmpl w:val="FA52B8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BEF7AF7"/>
    <w:multiLevelType w:val="hybridMultilevel"/>
    <w:tmpl w:val="541E68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73B5438"/>
    <w:multiLevelType w:val="hybridMultilevel"/>
    <w:tmpl w:val="6A547F5A"/>
    <w:lvl w:ilvl="0" w:tplc="AD94931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7C47D35"/>
    <w:multiLevelType w:val="multilevel"/>
    <w:tmpl w:val="7DBAAC54"/>
    <w:lvl w:ilvl="0">
      <w:start w:val="4"/>
      <w:numFmt w:val="decimal"/>
      <w:lvlText w:val="%1."/>
      <w:lvlJc w:val="left"/>
      <w:pPr>
        <w:ind w:left="420" w:hanging="420"/>
      </w:pPr>
      <w:rPr>
        <w:rFonts w:asciiTheme="minorHAnsi" w:hAnsiTheme="minorHAnsi" w:cstheme="minorHAnsi" w:hint="default"/>
      </w:rPr>
    </w:lvl>
    <w:lvl w:ilvl="1">
      <w:start w:val="1"/>
      <w:numFmt w:val="decimal"/>
      <w:lvlText w:val="%1.%2."/>
      <w:lvlJc w:val="left"/>
      <w:pPr>
        <w:ind w:left="720" w:hanging="72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1080"/>
      </w:pPr>
      <w:rPr>
        <w:rFonts w:asciiTheme="minorHAnsi" w:hAnsiTheme="minorHAnsi" w:cstheme="minorHAnsi" w:hint="default"/>
      </w:rPr>
    </w:lvl>
    <w:lvl w:ilvl="4">
      <w:start w:val="1"/>
      <w:numFmt w:val="decimal"/>
      <w:lvlText w:val="%1.%2.%3.%4.%5."/>
      <w:lvlJc w:val="left"/>
      <w:pPr>
        <w:ind w:left="1440" w:hanging="1440"/>
      </w:pPr>
      <w:rPr>
        <w:rFonts w:asciiTheme="minorHAnsi" w:hAnsiTheme="minorHAnsi" w:cstheme="minorHAnsi" w:hint="default"/>
      </w:rPr>
    </w:lvl>
    <w:lvl w:ilvl="5">
      <w:start w:val="1"/>
      <w:numFmt w:val="decimal"/>
      <w:lvlText w:val="%1.%2.%3.%4.%5.%6."/>
      <w:lvlJc w:val="left"/>
      <w:pPr>
        <w:ind w:left="1440" w:hanging="1440"/>
      </w:pPr>
      <w:rPr>
        <w:rFonts w:asciiTheme="minorHAnsi" w:hAnsiTheme="minorHAnsi" w:cstheme="minorHAnsi" w:hint="default"/>
      </w:rPr>
    </w:lvl>
    <w:lvl w:ilvl="6">
      <w:start w:val="1"/>
      <w:numFmt w:val="decimal"/>
      <w:lvlText w:val="%1.%2.%3.%4.%5.%6.%7."/>
      <w:lvlJc w:val="left"/>
      <w:pPr>
        <w:ind w:left="1800" w:hanging="1800"/>
      </w:pPr>
      <w:rPr>
        <w:rFonts w:asciiTheme="minorHAnsi" w:hAnsiTheme="minorHAnsi" w:cstheme="minorHAnsi" w:hint="default"/>
      </w:rPr>
    </w:lvl>
    <w:lvl w:ilvl="7">
      <w:start w:val="1"/>
      <w:numFmt w:val="decimal"/>
      <w:lvlText w:val="%1.%2.%3.%4.%5.%6.%7.%8."/>
      <w:lvlJc w:val="left"/>
      <w:pPr>
        <w:ind w:left="1800" w:hanging="1800"/>
      </w:pPr>
      <w:rPr>
        <w:rFonts w:asciiTheme="minorHAnsi" w:hAnsiTheme="minorHAnsi" w:cstheme="minorHAnsi" w:hint="default"/>
      </w:rPr>
    </w:lvl>
    <w:lvl w:ilvl="8">
      <w:start w:val="1"/>
      <w:numFmt w:val="decimal"/>
      <w:lvlText w:val="%1.%2.%3.%4.%5.%6.%7.%8.%9."/>
      <w:lvlJc w:val="left"/>
      <w:pPr>
        <w:ind w:left="2160" w:hanging="2160"/>
      </w:pPr>
      <w:rPr>
        <w:rFonts w:asciiTheme="minorHAnsi" w:hAnsiTheme="minorHAnsi" w:cstheme="minorHAnsi" w:hint="default"/>
      </w:rPr>
    </w:lvl>
  </w:abstractNum>
  <w:num w:numId="1" w16cid:durableId="1117260795">
    <w:abstractNumId w:val="1"/>
  </w:num>
  <w:num w:numId="2" w16cid:durableId="1775593042">
    <w:abstractNumId w:val="3"/>
  </w:num>
  <w:num w:numId="3" w16cid:durableId="1298874997">
    <w:abstractNumId w:val="7"/>
  </w:num>
  <w:num w:numId="4" w16cid:durableId="1793279728">
    <w:abstractNumId w:val="6"/>
  </w:num>
  <w:num w:numId="5" w16cid:durableId="1251499109">
    <w:abstractNumId w:val="5"/>
  </w:num>
  <w:num w:numId="6" w16cid:durableId="667363650">
    <w:abstractNumId w:val="2"/>
  </w:num>
  <w:num w:numId="7" w16cid:durableId="127669251">
    <w:abstractNumId w:val="4"/>
  </w:num>
  <w:num w:numId="8" w16cid:durableId="1635717476">
    <w:abstractNumId w:val="0"/>
  </w:num>
  <w:num w:numId="9" w16cid:durableId="1489633315">
    <w:abstractNumId w:val="9"/>
  </w:num>
  <w:num w:numId="10" w16cid:durableId="312411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E79"/>
    <w:rsid w:val="00033BCF"/>
    <w:rsid w:val="000426C3"/>
    <w:rsid w:val="00061854"/>
    <w:rsid w:val="000B7B7F"/>
    <w:rsid w:val="00111067"/>
    <w:rsid w:val="00125CDE"/>
    <w:rsid w:val="001463E0"/>
    <w:rsid w:val="0019347C"/>
    <w:rsid w:val="001A5ACE"/>
    <w:rsid w:val="001B44FB"/>
    <w:rsid w:val="001B5A0E"/>
    <w:rsid w:val="001C3C51"/>
    <w:rsid w:val="001F6A56"/>
    <w:rsid w:val="002215AD"/>
    <w:rsid w:val="0022503D"/>
    <w:rsid w:val="00235D26"/>
    <w:rsid w:val="00270A5B"/>
    <w:rsid w:val="002C17B4"/>
    <w:rsid w:val="00311097"/>
    <w:rsid w:val="003140CC"/>
    <w:rsid w:val="003214ED"/>
    <w:rsid w:val="0038470C"/>
    <w:rsid w:val="003A6D62"/>
    <w:rsid w:val="003D5B70"/>
    <w:rsid w:val="003E4327"/>
    <w:rsid w:val="0040104C"/>
    <w:rsid w:val="00411899"/>
    <w:rsid w:val="0042477E"/>
    <w:rsid w:val="00426C13"/>
    <w:rsid w:val="00441E79"/>
    <w:rsid w:val="0044396B"/>
    <w:rsid w:val="0046027D"/>
    <w:rsid w:val="00494798"/>
    <w:rsid w:val="004D20E9"/>
    <w:rsid w:val="0052405E"/>
    <w:rsid w:val="00530B33"/>
    <w:rsid w:val="00590F44"/>
    <w:rsid w:val="005A2C05"/>
    <w:rsid w:val="005B7CBE"/>
    <w:rsid w:val="005E5E12"/>
    <w:rsid w:val="005F18B8"/>
    <w:rsid w:val="005F7207"/>
    <w:rsid w:val="006E286F"/>
    <w:rsid w:val="00707C1A"/>
    <w:rsid w:val="00715D52"/>
    <w:rsid w:val="00721931"/>
    <w:rsid w:val="00761F84"/>
    <w:rsid w:val="0079734C"/>
    <w:rsid w:val="007E6BB9"/>
    <w:rsid w:val="00827A5B"/>
    <w:rsid w:val="008379FF"/>
    <w:rsid w:val="00855827"/>
    <w:rsid w:val="008924C4"/>
    <w:rsid w:val="008C0090"/>
    <w:rsid w:val="008F10B9"/>
    <w:rsid w:val="008F4577"/>
    <w:rsid w:val="009532E2"/>
    <w:rsid w:val="0095432D"/>
    <w:rsid w:val="009B64D8"/>
    <w:rsid w:val="009D3881"/>
    <w:rsid w:val="009E006D"/>
    <w:rsid w:val="009F1202"/>
    <w:rsid w:val="009F2952"/>
    <w:rsid w:val="00A00DA6"/>
    <w:rsid w:val="00A55096"/>
    <w:rsid w:val="00A771EB"/>
    <w:rsid w:val="00AE6966"/>
    <w:rsid w:val="00BB287B"/>
    <w:rsid w:val="00BB29AE"/>
    <w:rsid w:val="00BD6A6F"/>
    <w:rsid w:val="00BE599F"/>
    <w:rsid w:val="00BF53F3"/>
    <w:rsid w:val="00C34BC8"/>
    <w:rsid w:val="00C56498"/>
    <w:rsid w:val="00C73DA9"/>
    <w:rsid w:val="00D13CD4"/>
    <w:rsid w:val="00D36D5B"/>
    <w:rsid w:val="00D94FDB"/>
    <w:rsid w:val="00D97807"/>
    <w:rsid w:val="00DE46A5"/>
    <w:rsid w:val="00E16570"/>
    <w:rsid w:val="00E25E01"/>
    <w:rsid w:val="00E45534"/>
    <w:rsid w:val="00E45B77"/>
    <w:rsid w:val="00E5295C"/>
    <w:rsid w:val="00E612A2"/>
    <w:rsid w:val="00EB6322"/>
    <w:rsid w:val="00EB72E1"/>
    <w:rsid w:val="00EF3649"/>
    <w:rsid w:val="00F13575"/>
    <w:rsid w:val="00F171C8"/>
    <w:rsid w:val="00F340E5"/>
    <w:rsid w:val="00F408F7"/>
    <w:rsid w:val="00F542B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16E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E12"/>
  </w:style>
  <w:style w:type="paragraph" w:styleId="Overskrift1">
    <w:name w:val="heading 1"/>
    <w:basedOn w:val="Normal"/>
    <w:next w:val="Normal"/>
    <w:link w:val="Overskrift1Tegn"/>
    <w:uiPriority w:val="9"/>
    <w:qFormat/>
    <w:rsid w:val="009D3881"/>
    <w:pPr>
      <w:keepNext/>
      <w:keepLines/>
      <w:spacing w:before="360" w:after="0"/>
      <w:outlineLvl w:val="0"/>
    </w:pPr>
    <w:rPr>
      <w:rFonts w:asciiTheme="majorHAnsi" w:eastAsiaTheme="majorEastAsia" w:hAnsiTheme="majorHAnsi" w:cstheme="majorBidi"/>
      <w:b/>
      <w:color w:val="001F38" w:themeColor="accent1" w:themeShade="BF"/>
      <w:sz w:val="28"/>
      <w:szCs w:val="32"/>
    </w:rPr>
  </w:style>
  <w:style w:type="paragraph" w:styleId="Overskrift2">
    <w:name w:val="heading 2"/>
    <w:basedOn w:val="Normal"/>
    <w:next w:val="Normal"/>
    <w:link w:val="Overskrift2Tegn"/>
    <w:uiPriority w:val="9"/>
    <w:unhideWhenUsed/>
    <w:qFormat/>
    <w:rsid w:val="005E5E12"/>
    <w:pPr>
      <w:keepNext/>
      <w:keepLines/>
      <w:spacing w:before="160" w:after="0"/>
      <w:outlineLvl w:val="1"/>
    </w:pPr>
    <w:rPr>
      <w:rFonts w:asciiTheme="majorHAnsi" w:eastAsiaTheme="majorEastAsia" w:hAnsiTheme="majorHAnsi" w:cstheme="majorBidi"/>
      <w:color w:val="001F38" w:themeColor="accent1" w:themeShade="BF"/>
      <w:sz w:val="26"/>
      <w:szCs w:val="26"/>
    </w:rPr>
  </w:style>
  <w:style w:type="paragraph" w:styleId="Overskrift3">
    <w:name w:val="heading 3"/>
    <w:basedOn w:val="Normal"/>
    <w:next w:val="Normal"/>
    <w:link w:val="Overskrift3Tegn"/>
    <w:uiPriority w:val="9"/>
    <w:unhideWhenUsed/>
    <w:qFormat/>
    <w:rsid w:val="005E5E12"/>
    <w:pPr>
      <w:keepNext/>
      <w:keepLines/>
      <w:spacing w:before="40" w:after="0"/>
      <w:outlineLvl w:val="2"/>
    </w:pPr>
    <w:rPr>
      <w:rFonts w:asciiTheme="majorHAnsi" w:eastAsiaTheme="majorEastAsia" w:hAnsiTheme="majorHAnsi" w:cstheme="majorBidi"/>
      <w:color w:val="001425" w:themeColor="accent1" w:themeShade="7F"/>
      <w:sz w:val="24"/>
      <w:szCs w:val="24"/>
    </w:rPr>
  </w:style>
  <w:style w:type="paragraph" w:styleId="Overskrift4">
    <w:name w:val="heading 4"/>
    <w:basedOn w:val="Normal"/>
    <w:next w:val="Normal"/>
    <w:link w:val="Overskrift4Tegn"/>
    <w:uiPriority w:val="9"/>
    <w:qFormat/>
    <w:rsid w:val="00E45534"/>
    <w:pPr>
      <w:keepNext/>
      <w:keepLines/>
      <w:spacing w:before="40" w:after="120" w:line="300" w:lineRule="atLeast"/>
      <w:ind w:left="864" w:hanging="864"/>
      <w:outlineLvl w:val="3"/>
    </w:pPr>
    <w:rPr>
      <w:rFonts w:asciiTheme="majorHAnsi" w:eastAsiaTheme="majorEastAsia" w:hAnsiTheme="majorHAnsi" w:cstheme="majorBidi"/>
      <w:i/>
      <w:iCs/>
      <w:noProof/>
      <w:color w:val="001F38" w:themeColor="accent1" w:themeShade="BF"/>
      <w:kern w:val="0"/>
      <w14:ligatures w14:val="none"/>
    </w:rPr>
  </w:style>
  <w:style w:type="paragraph" w:styleId="Overskrift5">
    <w:name w:val="heading 5"/>
    <w:basedOn w:val="Normal"/>
    <w:next w:val="Normal"/>
    <w:link w:val="Overskrift5Tegn"/>
    <w:uiPriority w:val="9"/>
    <w:semiHidden/>
    <w:qFormat/>
    <w:rsid w:val="00E45534"/>
    <w:pPr>
      <w:keepNext/>
      <w:keepLines/>
      <w:spacing w:before="40" w:after="120" w:line="300" w:lineRule="atLeast"/>
      <w:ind w:left="1008" w:hanging="1008"/>
      <w:outlineLvl w:val="4"/>
    </w:pPr>
    <w:rPr>
      <w:rFonts w:asciiTheme="majorHAnsi" w:eastAsiaTheme="majorEastAsia" w:hAnsiTheme="majorHAnsi" w:cstheme="majorBidi"/>
      <w:noProof/>
      <w:color w:val="001F38" w:themeColor="accent1" w:themeShade="BF"/>
      <w:kern w:val="0"/>
      <w14:ligatures w14:val="none"/>
    </w:rPr>
  </w:style>
  <w:style w:type="paragraph" w:styleId="Overskrift6">
    <w:name w:val="heading 6"/>
    <w:basedOn w:val="Normal"/>
    <w:next w:val="Normal"/>
    <w:link w:val="Overskrift6Tegn"/>
    <w:uiPriority w:val="9"/>
    <w:semiHidden/>
    <w:qFormat/>
    <w:rsid w:val="00E45534"/>
    <w:pPr>
      <w:keepNext/>
      <w:keepLines/>
      <w:spacing w:before="40" w:after="120" w:line="300" w:lineRule="atLeast"/>
      <w:ind w:left="1152" w:hanging="1152"/>
      <w:outlineLvl w:val="5"/>
    </w:pPr>
    <w:rPr>
      <w:rFonts w:asciiTheme="majorHAnsi" w:eastAsiaTheme="majorEastAsia" w:hAnsiTheme="majorHAnsi" w:cstheme="majorBidi"/>
      <w:noProof/>
      <w:color w:val="001425" w:themeColor="accent1" w:themeShade="7F"/>
      <w:kern w:val="0"/>
      <w14:ligatures w14:val="none"/>
    </w:rPr>
  </w:style>
  <w:style w:type="paragraph" w:styleId="Overskrift7">
    <w:name w:val="heading 7"/>
    <w:basedOn w:val="Normal"/>
    <w:next w:val="Normal"/>
    <w:link w:val="Overskrift7Tegn"/>
    <w:uiPriority w:val="9"/>
    <w:semiHidden/>
    <w:qFormat/>
    <w:rsid w:val="00E45534"/>
    <w:pPr>
      <w:keepNext/>
      <w:keepLines/>
      <w:spacing w:before="40" w:after="120" w:line="300" w:lineRule="atLeast"/>
      <w:ind w:left="1296" w:hanging="1296"/>
      <w:outlineLvl w:val="6"/>
    </w:pPr>
    <w:rPr>
      <w:rFonts w:asciiTheme="majorHAnsi" w:eastAsiaTheme="majorEastAsia" w:hAnsiTheme="majorHAnsi" w:cstheme="majorBidi"/>
      <w:i/>
      <w:iCs/>
      <w:noProof/>
      <w:color w:val="001425" w:themeColor="accent1" w:themeShade="7F"/>
      <w:kern w:val="0"/>
      <w14:ligatures w14:val="none"/>
    </w:rPr>
  </w:style>
  <w:style w:type="paragraph" w:styleId="Overskrift8">
    <w:name w:val="heading 8"/>
    <w:basedOn w:val="Normal"/>
    <w:next w:val="Normal"/>
    <w:link w:val="Overskrift8Tegn"/>
    <w:uiPriority w:val="9"/>
    <w:semiHidden/>
    <w:qFormat/>
    <w:rsid w:val="00E45534"/>
    <w:pPr>
      <w:keepNext/>
      <w:keepLines/>
      <w:spacing w:before="40" w:after="120" w:line="300" w:lineRule="atLeast"/>
      <w:ind w:left="1440" w:hanging="1440"/>
      <w:outlineLvl w:val="7"/>
    </w:pPr>
    <w:rPr>
      <w:rFonts w:asciiTheme="majorHAnsi" w:eastAsiaTheme="majorEastAsia" w:hAnsiTheme="majorHAnsi" w:cstheme="majorBidi"/>
      <w:noProof/>
      <w:color w:val="272727" w:themeColor="text1" w:themeTint="D8"/>
      <w:kern w:val="0"/>
      <w:sz w:val="21"/>
      <w:szCs w:val="21"/>
      <w14:ligatures w14:val="none"/>
    </w:rPr>
  </w:style>
  <w:style w:type="paragraph" w:styleId="Overskrift9">
    <w:name w:val="heading 9"/>
    <w:basedOn w:val="Normal"/>
    <w:next w:val="Normal"/>
    <w:link w:val="Overskrift9Tegn"/>
    <w:uiPriority w:val="9"/>
    <w:semiHidden/>
    <w:qFormat/>
    <w:rsid w:val="00E45534"/>
    <w:pPr>
      <w:keepNext/>
      <w:keepLines/>
      <w:spacing w:before="40" w:after="120" w:line="300" w:lineRule="atLeast"/>
      <w:ind w:left="1584" w:hanging="1584"/>
      <w:outlineLvl w:val="8"/>
    </w:pPr>
    <w:rPr>
      <w:rFonts w:asciiTheme="majorHAnsi" w:eastAsiaTheme="majorEastAsia" w:hAnsiTheme="majorHAnsi" w:cstheme="majorBidi"/>
      <w:i/>
      <w:iCs/>
      <w:noProof/>
      <w:color w:val="272727" w:themeColor="text1" w:themeTint="D8"/>
      <w:kern w:val="0"/>
      <w:sz w:val="21"/>
      <w:szCs w:val="21"/>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D3881"/>
    <w:rPr>
      <w:rFonts w:asciiTheme="majorHAnsi" w:eastAsiaTheme="majorEastAsia" w:hAnsiTheme="majorHAnsi" w:cstheme="majorBidi"/>
      <w:b/>
      <w:color w:val="001F38" w:themeColor="accent1" w:themeShade="BF"/>
      <w:sz w:val="28"/>
      <w:szCs w:val="32"/>
    </w:rPr>
  </w:style>
  <w:style w:type="character" w:customStyle="1" w:styleId="Overskrift2Tegn">
    <w:name w:val="Overskrift 2 Tegn"/>
    <w:basedOn w:val="Standardskriftforavsnitt"/>
    <w:link w:val="Overskrift2"/>
    <w:uiPriority w:val="9"/>
    <w:rsid w:val="005E5E12"/>
    <w:rPr>
      <w:rFonts w:asciiTheme="majorHAnsi" w:eastAsiaTheme="majorEastAsia" w:hAnsiTheme="majorHAnsi" w:cstheme="majorBidi"/>
      <w:color w:val="001F38" w:themeColor="accent1" w:themeShade="BF"/>
      <w:sz w:val="26"/>
      <w:szCs w:val="26"/>
    </w:rPr>
  </w:style>
  <w:style w:type="character" w:customStyle="1" w:styleId="Overskrift3Tegn">
    <w:name w:val="Overskrift 3 Tegn"/>
    <w:basedOn w:val="Standardskriftforavsnitt"/>
    <w:link w:val="Overskrift3"/>
    <w:uiPriority w:val="9"/>
    <w:rsid w:val="005E5E12"/>
    <w:rPr>
      <w:rFonts w:asciiTheme="majorHAnsi" w:eastAsiaTheme="majorEastAsia" w:hAnsiTheme="majorHAnsi" w:cstheme="majorBidi"/>
      <w:color w:val="001425" w:themeColor="accent1" w:themeShade="7F"/>
      <w:sz w:val="24"/>
      <w:szCs w:val="24"/>
    </w:rPr>
  </w:style>
  <w:style w:type="paragraph" w:styleId="Tittel">
    <w:name w:val="Title"/>
    <w:basedOn w:val="Normal"/>
    <w:next w:val="Normal"/>
    <w:link w:val="TittelTegn"/>
    <w:uiPriority w:val="10"/>
    <w:qFormat/>
    <w:rsid w:val="0038470C"/>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telTegn">
    <w:name w:val="Tittel Tegn"/>
    <w:basedOn w:val="Standardskriftforavsnitt"/>
    <w:link w:val="Tittel"/>
    <w:uiPriority w:val="10"/>
    <w:rsid w:val="0038470C"/>
    <w:rPr>
      <w:rFonts w:asciiTheme="majorHAnsi" w:eastAsiaTheme="majorEastAsia" w:hAnsiTheme="majorHAnsi" w:cstheme="majorBidi"/>
      <w:b/>
      <w:spacing w:val="-10"/>
      <w:kern w:val="28"/>
      <w:sz w:val="56"/>
      <w:szCs w:val="56"/>
    </w:rPr>
  </w:style>
  <w:style w:type="table" w:styleId="Tabellrutenett">
    <w:name w:val="Table Grid"/>
    <w:basedOn w:val="Vanligtabell"/>
    <w:uiPriority w:val="39"/>
    <w:rsid w:val="00441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ell3uthevingsfarge1">
    <w:name w:val="List Table 3 Accent 1"/>
    <w:basedOn w:val="Vanligtabell"/>
    <w:uiPriority w:val="48"/>
    <w:rsid w:val="00441E79"/>
    <w:pPr>
      <w:spacing w:after="0" w:line="240" w:lineRule="auto"/>
    </w:pPr>
    <w:tblPr>
      <w:tblStyleRowBandSize w:val="1"/>
      <w:tblStyleColBandSize w:val="1"/>
      <w:tblBorders>
        <w:top w:val="single" w:sz="4" w:space="0" w:color="012A4C" w:themeColor="accent1"/>
        <w:left w:val="single" w:sz="4" w:space="0" w:color="012A4C" w:themeColor="accent1"/>
        <w:bottom w:val="single" w:sz="4" w:space="0" w:color="012A4C" w:themeColor="accent1"/>
        <w:right w:val="single" w:sz="4" w:space="0" w:color="012A4C" w:themeColor="accent1"/>
      </w:tblBorders>
    </w:tblPr>
    <w:tblStylePr w:type="firstRow">
      <w:rPr>
        <w:b/>
        <w:bCs/>
        <w:color w:val="FFFFFF" w:themeColor="background1"/>
      </w:rPr>
      <w:tblPr/>
      <w:tcPr>
        <w:shd w:val="clear" w:color="auto" w:fill="012A4C" w:themeFill="accent1"/>
      </w:tcPr>
    </w:tblStylePr>
    <w:tblStylePr w:type="lastRow">
      <w:rPr>
        <w:b/>
        <w:bCs/>
      </w:rPr>
      <w:tblPr/>
      <w:tcPr>
        <w:tcBorders>
          <w:top w:val="double" w:sz="4" w:space="0" w:color="012A4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12A4C" w:themeColor="accent1"/>
          <w:right w:val="single" w:sz="4" w:space="0" w:color="012A4C" w:themeColor="accent1"/>
        </w:tcBorders>
      </w:tcPr>
    </w:tblStylePr>
    <w:tblStylePr w:type="band1Horz">
      <w:tblPr/>
      <w:tcPr>
        <w:tcBorders>
          <w:top w:val="single" w:sz="4" w:space="0" w:color="012A4C" w:themeColor="accent1"/>
          <w:bottom w:val="single" w:sz="4" w:space="0" w:color="012A4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12A4C" w:themeColor="accent1"/>
          <w:left w:val="nil"/>
        </w:tcBorders>
      </w:tcPr>
    </w:tblStylePr>
    <w:tblStylePr w:type="swCell">
      <w:tblPr/>
      <w:tcPr>
        <w:tcBorders>
          <w:top w:val="double" w:sz="4" w:space="0" w:color="012A4C" w:themeColor="accent1"/>
          <w:right w:val="nil"/>
        </w:tcBorders>
      </w:tcPr>
    </w:tblStylePr>
  </w:style>
  <w:style w:type="paragraph" w:styleId="Topptekst">
    <w:name w:val="header"/>
    <w:basedOn w:val="Normal"/>
    <w:link w:val="TopptekstTegn"/>
    <w:uiPriority w:val="99"/>
    <w:unhideWhenUsed/>
    <w:rsid w:val="003E432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E4327"/>
  </w:style>
  <w:style w:type="paragraph" w:styleId="Bunntekst">
    <w:name w:val="footer"/>
    <w:basedOn w:val="Normal"/>
    <w:link w:val="BunntekstTegn"/>
    <w:uiPriority w:val="99"/>
    <w:unhideWhenUsed/>
    <w:rsid w:val="003E432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E4327"/>
  </w:style>
  <w:style w:type="character" w:customStyle="1" w:styleId="Overskrift4Tegn">
    <w:name w:val="Overskrift 4 Tegn"/>
    <w:basedOn w:val="Standardskriftforavsnitt"/>
    <w:link w:val="Overskrift4"/>
    <w:uiPriority w:val="9"/>
    <w:rsid w:val="00E45534"/>
    <w:rPr>
      <w:rFonts w:asciiTheme="majorHAnsi" w:eastAsiaTheme="majorEastAsia" w:hAnsiTheme="majorHAnsi" w:cstheme="majorBidi"/>
      <w:i/>
      <w:iCs/>
      <w:noProof/>
      <w:color w:val="001F38" w:themeColor="accent1" w:themeShade="BF"/>
      <w:kern w:val="0"/>
      <w14:ligatures w14:val="none"/>
    </w:rPr>
  </w:style>
  <w:style w:type="character" w:customStyle="1" w:styleId="Overskrift5Tegn">
    <w:name w:val="Overskrift 5 Tegn"/>
    <w:basedOn w:val="Standardskriftforavsnitt"/>
    <w:link w:val="Overskrift5"/>
    <w:uiPriority w:val="9"/>
    <w:semiHidden/>
    <w:rsid w:val="00E45534"/>
    <w:rPr>
      <w:rFonts w:asciiTheme="majorHAnsi" w:eastAsiaTheme="majorEastAsia" w:hAnsiTheme="majorHAnsi" w:cstheme="majorBidi"/>
      <w:noProof/>
      <w:color w:val="001F38" w:themeColor="accent1" w:themeShade="BF"/>
      <w:kern w:val="0"/>
      <w14:ligatures w14:val="none"/>
    </w:rPr>
  </w:style>
  <w:style w:type="character" w:customStyle="1" w:styleId="Overskrift6Tegn">
    <w:name w:val="Overskrift 6 Tegn"/>
    <w:basedOn w:val="Standardskriftforavsnitt"/>
    <w:link w:val="Overskrift6"/>
    <w:uiPriority w:val="9"/>
    <w:semiHidden/>
    <w:rsid w:val="00E45534"/>
    <w:rPr>
      <w:rFonts w:asciiTheme="majorHAnsi" w:eastAsiaTheme="majorEastAsia" w:hAnsiTheme="majorHAnsi" w:cstheme="majorBidi"/>
      <w:noProof/>
      <w:color w:val="001425" w:themeColor="accent1" w:themeShade="7F"/>
      <w:kern w:val="0"/>
      <w14:ligatures w14:val="none"/>
    </w:rPr>
  </w:style>
  <w:style w:type="character" w:customStyle="1" w:styleId="Overskrift7Tegn">
    <w:name w:val="Overskrift 7 Tegn"/>
    <w:basedOn w:val="Standardskriftforavsnitt"/>
    <w:link w:val="Overskrift7"/>
    <w:uiPriority w:val="9"/>
    <w:semiHidden/>
    <w:rsid w:val="00E45534"/>
    <w:rPr>
      <w:rFonts w:asciiTheme="majorHAnsi" w:eastAsiaTheme="majorEastAsia" w:hAnsiTheme="majorHAnsi" w:cstheme="majorBidi"/>
      <w:i/>
      <w:iCs/>
      <w:noProof/>
      <w:color w:val="001425" w:themeColor="accent1" w:themeShade="7F"/>
      <w:kern w:val="0"/>
      <w14:ligatures w14:val="none"/>
    </w:rPr>
  </w:style>
  <w:style w:type="character" w:customStyle="1" w:styleId="Overskrift8Tegn">
    <w:name w:val="Overskrift 8 Tegn"/>
    <w:basedOn w:val="Standardskriftforavsnitt"/>
    <w:link w:val="Overskrift8"/>
    <w:uiPriority w:val="9"/>
    <w:semiHidden/>
    <w:rsid w:val="00E45534"/>
    <w:rPr>
      <w:rFonts w:asciiTheme="majorHAnsi" w:eastAsiaTheme="majorEastAsia" w:hAnsiTheme="majorHAnsi" w:cstheme="majorBidi"/>
      <w:noProof/>
      <w:color w:val="272727" w:themeColor="text1" w:themeTint="D8"/>
      <w:kern w:val="0"/>
      <w:sz w:val="21"/>
      <w:szCs w:val="21"/>
      <w14:ligatures w14:val="none"/>
    </w:rPr>
  </w:style>
  <w:style w:type="character" w:customStyle="1" w:styleId="Overskrift9Tegn">
    <w:name w:val="Overskrift 9 Tegn"/>
    <w:basedOn w:val="Standardskriftforavsnitt"/>
    <w:link w:val="Overskrift9"/>
    <w:uiPriority w:val="9"/>
    <w:semiHidden/>
    <w:rsid w:val="00E45534"/>
    <w:rPr>
      <w:rFonts w:asciiTheme="majorHAnsi" w:eastAsiaTheme="majorEastAsia" w:hAnsiTheme="majorHAnsi" w:cstheme="majorBidi"/>
      <w:i/>
      <w:iCs/>
      <w:noProof/>
      <w:color w:val="272727" w:themeColor="text1" w:themeTint="D8"/>
      <w:kern w:val="0"/>
      <w:sz w:val="21"/>
      <w:szCs w:val="21"/>
      <w14:ligatures w14:val="none"/>
    </w:rPr>
  </w:style>
  <w:style w:type="paragraph" w:styleId="Listeavsnitt">
    <w:name w:val="List Paragraph"/>
    <w:basedOn w:val="Normal"/>
    <w:uiPriority w:val="34"/>
    <w:qFormat/>
    <w:rsid w:val="00E45534"/>
    <w:pPr>
      <w:spacing w:before="120" w:after="120" w:line="300" w:lineRule="atLeast"/>
      <w:ind w:left="720"/>
      <w:contextualSpacing/>
    </w:pPr>
    <w:rPr>
      <w:rFonts w:ascii="Arial" w:hAnsi="Arial" w:cs="Arial"/>
      <w:noProof/>
      <w:color w:val="231F20"/>
      <w:kern w:val="0"/>
      <w14:ligatures w14:val="none"/>
    </w:rPr>
  </w:style>
  <w:style w:type="character" w:styleId="Utheving">
    <w:name w:val="Emphasis"/>
    <w:basedOn w:val="Standardskriftforavsnitt"/>
    <w:uiPriority w:val="20"/>
    <w:qFormat/>
    <w:rsid w:val="00E45534"/>
    <w:rPr>
      <w:i/>
      <w:iCs/>
    </w:rPr>
  </w:style>
  <w:style w:type="paragraph" w:customStyle="1" w:styleId="Default">
    <w:name w:val="Default"/>
    <w:rsid w:val="00E4553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Brdtekst">
    <w:name w:val="Body Text"/>
    <w:link w:val="BrdtekstTegn"/>
    <w:unhideWhenUsed/>
    <w:qFormat/>
    <w:rsid w:val="00125CDE"/>
    <w:pPr>
      <w:spacing w:before="240" w:after="240" w:line="264" w:lineRule="auto"/>
    </w:pPr>
    <w:rPr>
      <w:rFonts w:ascii="Arial" w:hAnsi="Arial" w:cs="Arial"/>
      <w:kern w:val="0"/>
      <w:sz w:val="20"/>
      <w:szCs w:val="20"/>
      <w14:ligatures w14:val="none"/>
    </w:rPr>
  </w:style>
  <w:style w:type="character" w:customStyle="1" w:styleId="BrdtekstTegn">
    <w:name w:val="Brødtekst Tegn"/>
    <w:basedOn w:val="Standardskriftforavsnitt"/>
    <w:link w:val="Brdtekst"/>
    <w:rsid w:val="00125CDE"/>
    <w:rPr>
      <w:rFonts w:ascii="Arial" w:hAnsi="Arial" w:cs="Arial"/>
      <w:kern w:val="0"/>
      <w:sz w:val="20"/>
      <w:szCs w:val="20"/>
      <w14:ligatures w14:val="none"/>
    </w:rPr>
  </w:style>
  <w:style w:type="paragraph" w:styleId="Overskriftforinnholdsfortegnelse">
    <w:name w:val="TOC Heading"/>
    <w:basedOn w:val="Overskrift1"/>
    <w:next w:val="Normal"/>
    <w:uiPriority w:val="39"/>
    <w:semiHidden/>
    <w:unhideWhenUsed/>
    <w:qFormat/>
    <w:rsid w:val="00715D52"/>
    <w:pPr>
      <w:tabs>
        <w:tab w:val="left" w:pos="935"/>
      </w:tabs>
      <w:spacing w:before="240"/>
      <w:outlineLvl w:val="9"/>
    </w:pPr>
    <w:rPr>
      <w:b w:val="0"/>
      <w:kern w:val="0"/>
      <w:lang w:val="en-GB"/>
      <w14:ligatures w14:val="none"/>
    </w:rPr>
  </w:style>
  <w:style w:type="paragraph" w:customStyle="1" w:styleId="Forside">
    <w:name w:val="Forside"/>
    <w:basedOn w:val="Normal"/>
    <w:link w:val="ForsideTegn"/>
    <w:qFormat/>
    <w:rsid w:val="00715D52"/>
    <w:pPr>
      <w:spacing w:before="120" w:after="120" w:line="300" w:lineRule="atLeast"/>
    </w:pPr>
    <w:rPr>
      <w:rFonts w:ascii="Arial" w:hAnsi="Arial" w:cs="Arial"/>
      <w:b/>
      <w:color w:val="012A4C" w:themeColor="text2"/>
      <w:kern w:val="0"/>
      <w:sz w:val="40"/>
      <w:szCs w:val="40"/>
      <w14:ligatures w14:val="none"/>
    </w:rPr>
  </w:style>
  <w:style w:type="character" w:customStyle="1" w:styleId="ForsideTegn">
    <w:name w:val="Forside Tegn"/>
    <w:basedOn w:val="Standardskriftforavsnitt"/>
    <w:link w:val="Forside"/>
    <w:rsid w:val="00715D52"/>
    <w:rPr>
      <w:rFonts w:ascii="Arial" w:hAnsi="Arial" w:cs="Arial"/>
      <w:b/>
      <w:color w:val="012A4C" w:themeColor="text2"/>
      <w:kern w:val="0"/>
      <w:sz w:val="40"/>
      <w:szCs w:val="40"/>
      <w14:ligatures w14:val="none"/>
    </w:rPr>
  </w:style>
  <w:style w:type="paragraph" w:styleId="Revisjon">
    <w:name w:val="Revision"/>
    <w:hidden/>
    <w:uiPriority w:val="99"/>
    <w:semiHidden/>
    <w:rsid w:val="005F18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3C7181-EAAA-4185-841B-97541EA5E4CE}">
  <ds:schemaRefs>
    <ds:schemaRef ds:uri="http://schemas.microsoft.com/sharepoint/v3/contenttype/forms"/>
  </ds:schemaRefs>
</ds:datastoreItem>
</file>

<file path=customXml/itemProps2.xml><?xml version="1.0" encoding="utf-8"?>
<ds:datastoreItem xmlns:ds="http://schemas.openxmlformats.org/officeDocument/2006/customXml" ds:itemID="{1D0FE897-8A2E-4131-961E-77902C34519D}"/>
</file>

<file path=customXml/itemProps3.xml><?xml version="1.0" encoding="utf-8"?>
<ds:datastoreItem xmlns:ds="http://schemas.openxmlformats.org/officeDocument/2006/customXml" ds:itemID="{013703E4-B67B-46E8-AA99-3BCA3917FA4B}">
  <ds:schemaRefs>
    <ds:schemaRef ds:uri="http://schemas.microsoft.com/office/2006/metadata/properties"/>
    <ds:schemaRef ds:uri="http://schemas.microsoft.com/office/infopath/2007/PartnerControls"/>
    <ds:schemaRef ds:uri="54ef2a1d-58c9-4efb-8a30-716601a8312e"/>
    <ds:schemaRef ds:uri="6f2d107f-4409-4c1e-bd6c-74f36b1a60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1569</Words>
  <Characters>8316</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2023-11-21T14:53:00Z</dcterms:created>
  <dcterms:modified xsi:type="dcterms:W3CDTF">2026-04-29T12:53:00Z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